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99" w:type="dxa"/>
        <w:tblLayout w:type="fixed"/>
        <w:tblLook w:val="0000" w:firstRow="0" w:lastRow="0" w:firstColumn="0" w:lastColumn="0" w:noHBand="0" w:noVBand="0"/>
      </w:tblPr>
      <w:tblGrid>
        <w:gridCol w:w="5140"/>
        <w:gridCol w:w="4959"/>
      </w:tblGrid>
      <w:tr w:rsidR="006775DE" w14:paraId="12060786" w14:textId="77777777" w:rsidTr="00CD63D5">
        <w:trPr>
          <w:trHeight w:val="297"/>
        </w:trPr>
        <w:tc>
          <w:tcPr>
            <w:tcW w:w="5140" w:type="dxa"/>
          </w:tcPr>
          <w:p w14:paraId="43D0E24A" w14:textId="77777777" w:rsidR="006775DE" w:rsidRDefault="006775DE" w:rsidP="00CD63D5">
            <w:pPr>
              <w:widowControl w:val="0"/>
              <w:pBdr>
                <w:top w:val="nil"/>
                <w:left w:val="nil"/>
                <w:bottom w:val="nil"/>
                <w:right w:val="nil"/>
                <w:between w:val="nil"/>
              </w:pBdr>
              <w:rPr>
                <w:rFonts w:ascii="Arial" w:eastAsia="Arial" w:hAnsi="Arial" w:cs="Arial"/>
                <w:b/>
                <w:color w:val="000000"/>
                <w:sz w:val="16"/>
                <w:szCs w:val="16"/>
              </w:rPr>
            </w:pPr>
            <w:r>
              <w:rPr>
                <w:noProof/>
              </w:rPr>
              <mc:AlternateContent>
                <mc:Choice Requires="wps">
                  <w:drawing>
                    <wp:anchor distT="0" distB="0" distL="114300" distR="114300" simplePos="0" relativeHeight="251657216" behindDoc="0" locked="0" layoutInCell="1" allowOverlap="1" wp14:anchorId="3C0AC47F" wp14:editId="0420FF6D">
                      <wp:simplePos x="0" y="0"/>
                      <wp:positionH relativeFrom="column">
                        <wp:posOffset>0</wp:posOffset>
                      </wp:positionH>
                      <wp:positionV relativeFrom="paragraph">
                        <wp:posOffset>0</wp:posOffset>
                      </wp:positionV>
                      <wp:extent cx="635000" cy="635000"/>
                      <wp:effectExtent l="0" t="0" r="3175" b="3175"/>
                      <wp:wrapNone/>
                      <wp:docPr id="2" name="WordArt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B6DD2F4" id="_x0000_t202" coordsize="21600,21600" o:spt="202" path="m,l,21600r21600,l21600,xe">
                      <v:stroke joinstyle="miter"/>
                      <v:path gradientshapeok="t" o:connecttype="rect"/>
                    </v:shapetype>
                    <v:shape id="WordArt 2" o:spid="_x0000_s1026" type="#_x0000_t202"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Pr>
                <w:rFonts w:ascii="Arial" w:eastAsia="Arial" w:hAnsi="Arial" w:cs="Arial"/>
                <w:b/>
                <w:color w:val="006FC0"/>
                <w:sz w:val="16"/>
                <w:szCs w:val="16"/>
              </w:rPr>
              <w:t>RESEARCH ARTICLE</w:t>
            </w:r>
          </w:p>
        </w:tc>
        <w:tc>
          <w:tcPr>
            <w:tcW w:w="4959" w:type="dxa"/>
          </w:tcPr>
          <w:p w14:paraId="3F85FB49" w14:textId="77777777" w:rsidR="006775DE" w:rsidRDefault="006775DE" w:rsidP="00CD63D5">
            <w:pPr>
              <w:widowControl w:val="0"/>
              <w:pBdr>
                <w:top w:val="nil"/>
                <w:left w:val="nil"/>
                <w:bottom w:val="nil"/>
                <w:right w:val="nil"/>
                <w:between w:val="nil"/>
              </w:pBdr>
              <w:tabs>
                <w:tab w:val="left" w:pos="1532"/>
              </w:tabs>
              <w:ind w:right="73"/>
              <w:jc w:val="right"/>
              <w:rPr>
                <w:rFonts w:ascii="Arial" w:eastAsia="Arial" w:hAnsi="Arial" w:cs="Arial"/>
                <w:b/>
                <w:color w:val="000000"/>
                <w:sz w:val="16"/>
                <w:szCs w:val="16"/>
              </w:rPr>
            </w:pPr>
            <w:r>
              <w:rPr>
                <w:rFonts w:ascii="Arial" w:eastAsia="Arial" w:hAnsi="Arial" w:cs="Arial"/>
                <w:b/>
                <w:color w:val="FFFFFF"/>
                <w:sz w:val="16"/>
                <w:szCs w:val="16"/>
                <w:shd w:val="clear" w:color="auto" w:fill="F79546"/>
              </w:rPr>
              <w:t xml:space="preserve">  OPEN ACCESS</w:t>
            </w:r>
            <w:r>
              <w:rPr>
                <w:rFonts w:ascii="Arial" w:eastAsia="Arial" w:hAnsi="Arial" w:cs="Arial"/>
                <w:b/>
                <w:color w:val="FFFFFF"/>
                <w:sz w:val="16"/>
                <w:szCs w:val="16"/>
                <w:shd w:val="clear" w:color="auto" w:fill="F79546"/>
              </w:rPr>
              <w:tab/>
            </w:r>
          </w:p>
        </w:tc>
      </w:tr>
    </w:tbl>
    <w:p w14:paraId="0C5B57A8" w14:textId="77777777" w:rsidR="006775DE" w:rsidRPr="00531D0E" w:rsidRDefault="006775DE" w:rsidP="006775DE">
      <w:pPr>
        <w:rPr>
          <w:rFonts w:ascii="Helvetica" w:hAnsi="Helvetica" w:cs="Helvetica"/>
          <w:sz w:val="16"/>
          <w:szCs w:val="16"/>
        </w:rPr>
      </w:pPr>
      <w:r w:rsidRPr="00531D0E">
        <w:rPr>
          <w:rFonts w:ascii="Helvetica" w:eastAsia="Helvetica Neue" w:hAnsi="Helvetica" w:cs="Helvetica"/>
          <w:sz w:val="16"/>
          <w:szCs w:val="16"/>
        </w:rPr>
        <w:t xml:space="preserve">Manuscript received </w:t>
      </w:r>
      <w:r>
        <w:rPr>
          <w:rFonts w:ascii="Helvetica" w:eastAsia="Helvetica Neue" w:hAnsi="Helvetica" w:cs="Helvetica"/>
          <w:sz w:val="16"/>
          <w:szCs w:val="16"/>
        </w:rPr>
        <w:t>November</w:t>
      </w:r>
      <w:r w:rsidRPr="00531D0E">
        <w:rPr>
          <w:rFonts w:ascii="Helvetica" w:eastAsia="Helvetica Neue" w:hAnsi="Helvetica" w:cs="Helvetica"/>
          <w:sz w:val="16"/>
          <w:szCs w:val="16"/>
        </w:rPr>
        <w:t xml:space="preserve"> </w:t>
      </w:r>
      <w:r>
        <w:rPr>
          <w:rFonts w:ascii="Helvetica" w:eastAsia="Helvetica Neue" w:hAnsi="Helvetica" w:cs="Helvetica"/>
          <w:sz w:val="16"/>
          <w:szCs w:val="16"/>
        </w:rPr>
        <w:t>5</w:t>
      </w:r>
      <w:r w:rsidRPr="00531D0E">
        <w:rPr>
          <w:rFonts w:ascii="Helvetica" w:eastAsia="Helvetica Neue" w:hAnsi="Helvetica" w:cs="Helvetica"/>
          <w:sz w:val="16"/>
          <w:szCs w:val="16"/>
        </w:rPr>
        <w:t xml:space="preserve">, 2022; revised </w:t>
      </w:r>
      <w:r>
        <w:rPr>
          <w:rFonts w:ascii="Helvetica" w:eastAsia="Helvetica Neue" w:hAnsi="Helvetica" w:cs="Helvetica"/>
          <w:sz w:val="16"/>
          <w:szCs w:val="16"/>
        </w:rPr>
        <w:t>November</w:t>
      </w:r>
      <w:r w:rsidRPr="00531D0E">
        <w:rPr>
          <w:rFonts w:ascii="Helvetica" w:eastAsia="Helvetica Neue" w:hAnsi="Helvetica" w:cs="Helvetica"/>
          <w:sz w:val="16"/>
          <w:szCs w:val="16"/>
        </w:rPr>
        <w:t xml:space="preserve"> </w:t>
      </w:r>
      <w:r>
        <w:rPr>
          <w:rFonts w:ascii="Helvetica" w:eastAsia="Helvetica Neue" w:hAnsi="Helvetica" w:cs="Helvetica"/>
          <w:sz w:val="16"/>
          <w:szCs w:val="16"/>
        </w:rPr>
        <w:t>18</w:t>
      </w:r>
      <w:r w:rsidRPr="00531D0E">
        <w:rPr>
          <w:rFonts w:ascii="Helvetica" w:eastAsia="Helvetica Neue" w:hAnsi="Helvetica" w:cs="Helvetica"/>
          <w:sz w:val="16"/>
          <w:szCs w:val="16"/>
        </w:rPr>
        <w:t xml:space="preserve">, 2022; accepted </w:t>
      </w:r>
      <w:r>
        <w:rPr>
          <w:rFonts w:ascii="Helvetica" w:eastAsia="Helvetica Neue" w:hAnsi="Helvetica" w:cs="Helvetica"/>
          <w:sz w:val="16"/>
          <w:szCs w:val="16"/>
        </w:rPr>
        <w:t>November</w:t>
      </w:r>
      <w:r w:rsidRPr="00531D0E">
        <w:rPr>
          <w:rFonts w:ascii="Helvetica" w:eastAsia="Helvetica Neue" w:hAnsi="Helvetica" w:cs="Helvetica"/>
          <w:sz w:val="16"/>
          <w:szCs w:val="16"/>
        </w:rPr>
        <w:t xml:space="preserve"> </w:t>
      </w:r>
      <w:r>
        <w:rPr>
          <w:rFonts w:ascii="Helvetica" w:eastAsia="Helvetica Neue" w:hAnsi="Helvetica" w:cs="Helvetica"/>
          <w:sz w:val="16"/>
          <w:szCs w:val="16"/>
        </w:rPr>
        <w:t>20</w:t>
      </w:r>
      <w:r w:rsidRPr="00531D0E">
        <w:rPr>
          <w:rFonts w:ascii="Helvetica" w:eastAsia="Helvetica Neue" w:hAnsi="Helvetica" w:cs="Helvetica"/>
          <w:sz w:val="16"/>
          <w:szCs w:val="16"/>
        </w:rPr>
        <w:t xml:space="preserve">, 2022; date of publication </w:t>
      </w:r>
      <w:r>
        <w:rPr>
          <w:rFonts w:ascii="Helvetica" w:eastAsia="Helvetica Neue" w:hAnsi="Helvetica" w:cs="Helvetica"/>
          <w:sz w:val="16"/>
          <w:szCs w:val="16"/>
        </w:rPr>
        <w:t>December</w:t>
      </w:r>
      <w:r w:rsidRPr="00531D0E">
        <w:rPr>
          <w:rFonts w:ascii="Helvetica" w:eastAsia="Helvetica Neue" w:hAnsi="Helvetica" w:cs="Helvetica"/>
          <w:sz w:val="16"/>
          <w:szCs w:val="16"/>
        </w:rPr>
        <w:t xml:space="preserve"> </w:t>
      </w:r>
      <w:r>
        <w:rPr>
          <w:rFonts w:ascii="Helvetica" w:eastAsia="Helvetica Neue" w:hAnsi="Helvetica" w:cs="Helvetica"/>
          <w:sz w:val="16"/>
          <w:szCs w:val="16"/>
        </w:rPr>
        <w:t>20</w:t>
      </w:r>
      <w:r w:rsidRPr="00531D0E">
        <w:rPr>
          <w:rFonts w:ascii="Helvetica" w:eastAsia="Helvetica Neue" w:hAnsi="Helvetica" w:cs="Helvetica"/>
          <w:sz w:val="16"/>
          <w:szCs w:val="16"/>
        </w:rPr>
        <w:t>, 2022</w:t>
      </w:r>
    </w:p>
    <w:p w14:paraId="273E6F72" w14:textId="6780216A" w:rsidR="006775DE" w:rsidRPr="00531D0E" w:rsidRDefault="006775DE" w:rsidP="006775DE">
      <w:pPr>
        <w:pBdr>
          <w:top w:val="nil"/>
          <w:left w:val="nil"/>
          <w:bottom w:val="nil"/>
          <w:right w:val="nil"/>
          <w:between w:val="nil"/>
        </w:pBdr>
        <w:rPr>
          <w:rFonts w:ascii="Helvetica" w:eastAsia="Helvetica Neue" w:hAnsi="Helvetica" w:cs="Helvetica"/>
          <w:color w:val="000000"/>
          <w:sz w:val="16"/>
          <w:szCs w:val="16"/>
        </w:rPr>
      </w:pPr>
      <w:r w:rsidRPr="00531D0E">
        <w:rPr>
          <w:rFonts w:ascii="Helvetica" w:eastAsia="Helvetica Neue" w:hAnsi="Helvetica" w:cs="Helvetica"/>
          <w:color w:val="000000"/>
          <w:sz w:val="16"/>
          <w:szCs w:val="16"/>
        </w:rPr>
        <w:t>Digital Object Identifier (</w:t>
      </w:r>
      <w:r w:rsidRPr="00531D0E">
        <w:rPr>
          <w:rFonts w:ascii="Helvetica" w:eastAsia="Helvetica Neue" w:hAnsi="Helvetica" w:cs="Helvetica"/>
          <w:b/>
          <w:color w:val="000000"/>
          <w:sz w:val="16"/>
          <w:szCs w:val="16"/>
        </w:rPr>
        <w:t>DOI</w:t>
      </w:r>
      <w:r w:rsidRPr="00531D0E">
        <w:rPr>
          <w:rFonts w:ascii="Helvetica" w:eastAsia="Helvetica Neue" w:hAnsi="Helvetica" w:cs="Helvetica"/>
          <w:color w:val="000000"/>
          <w:sz w:val="16"/>
          <w:szCs w:val="16"/>
        </w:rPr>
        <w:t xml:space="preserve">): </w:t>
      </w:r>
      <w:hyperlink r:id="rId8">
        <w:r w:rsidR="009569D6">
          <w:rPr>
            <w:rFonts w:ascii="Helvetica" w:eastAsia="Helvetica Neue" w:hAnsi="Helvetica" w:cs="Helvetica"/>
            <w:color w:val="0000FF"/>
            <w:sz w:val="16"/>
            <w:szCs w:val="16"/>
            <w:u w:val="single"/>
          </w:rPr>
          <w:t>https://doi.org/10.35882/ijahst.v2i6.181</w:t>
        </w:r>
      </w:hyperlink>
    </w:p>
    <w:p w14:paraId="214630B9" w14:textId="77777777" w:rsidR="006775DE" w:rsidRPr="00531D0E" w:rsidRDefault="006775DE" w:rsidP="006775DE">
      <w:pPr>
        <w:pBdr>
          <w:top w:val="nil"/>
          <w:left w:val="nil"/>
          <w:bottom w:val="nil"/>
          <w:right w:val="nil"/>
          <w:between w:val="nil"/>
        </w:pBdr>
        <w:shd w:val="clear" w:color="auto" w:fill="FFFFFF"/>
        <w:rPr>
          <w:rFonts w:ascii="Helvetica" w:hAnsi="Helvetica" w:cs="Helvetica"/>
          <w:color w:val="000000"/>
          <w:sz w:val="16"/>
          <w:szCs w:val="16"/>
        </w:rPr>
      </w:pPr>
      <w:r w:rsidRPr="00531D0E">
        <w:rPr>
          <w:rFonts w:ascii="Helvetica" w:eastAsia="Helvetica Neue" w:hAnsi="Helvetica" w:cs="Helvetica"/>
          <w:b/>
          <w:color w:val="000000"/>
          <w:sz w:val="16"/>
          <w:szCs w:val="16"/>
        </w:rPr>
        <w:t>Copyright</w:t>
      </w:r>
      <w:r w:rsidRPr="00531D0E">
        <w:rPr>
          <w:rFonts w:ascii="Helvetica" w:eastAsia="Helvetica Neue" w:hAnsi="Helvetica" w:cs="Helvetica"/>
          <w:color w:val="000000"/>
          <w:sz w:val="16"/>
          <w:szCs w:val="16"/>
        </w:rPr>
        <w:t xml:space="preserve"> © 2022 by the authors. This work is an open-access article and licensed under a Creative Commons Attribution-</w:t>
      </w:r>
      <w:proofErr w:type="spellStart"/>
      <w:r w:rsidRPr="00531D0E">
        <w:rPr>
          <w:rFonts w:ascii="Helvetica" w:eastAsia="Helvetica Neue" w:hAnsi="Helvetica" w:cs="Helvetica"/>
          <w:color w:val="000000"/>
          <w:sz w:val="16"/>
          <w:szCs w:val="16"/>
        </w:rPr>
        <w:t>ShareAlike</w:t>
      </w:r>
      <w:proofErr w:type="spellEnd"/>
      <w:r w:rsidRPr="00531D0E">
        <w:rPr>
          <w:rFonts w:ascii="Helvetica" w:eastAsia="Helvetica Neue" w:hAnsi="Helvetica" w:cs="Helvetica"/>
          <w:color w:val="000000"/>
          <w:sz w:val="16"/>
          <w:szCs w:val="16"/>
        </w:rPr>
        <w:t xml:space="preserve"> 4.0 International License (</w:t>
      </w:r>
      <w:hyperlink r:id="rId9">
        <w:r w:rsidRPr="00531D0E">
          <w:rPr>
            <w:rFonts w:ascii="Helvetica" w:eastAsia="Helvetica Neue" w:hAnsi="Helvetica" w:cs="Helvetica"/>
            <w:color w:val="0000FF"/>
            <w:sz w:val="16"/>
            <w:szCs w:val="16"/>
            <w:u w:val="single"/>
          </w:rPr>
          <w:t>CC BY-SA 4.0</w:t>
        </w:r>
      </w:hyperlink>
      <w:r w:rsidRPr="00531D0E">
        <w:rPr>
          <w:rFonts w:ascii="Helvetica" w:eastAsia="Helvetica Neue" w:hAnsi="Helvetica" w:cs="Helvetica"/>
          <w:color w:val="000000"/>
          <w:sz w:val="16"/>
          <w:szCs w:val="16"/>
        </w:rPr>
        <w:t xml:space="preserve">) </w:t>
      </w:r>
    </w:p>
    <w:p w14:paraId="3259469F" w14:textId="2D670A3F" w:rsidR="00AD17EC" w:rsidRPr="006775DE" w:rsidRDefault="006775DE" w:rsidP="00280E0D">
      <w:pPr>
        <w:pBdr>
          <w:top w:val="nil"/>
          <w:left w:val="nil"/>
          <w:bottom w:val="nil"/>
          <w:right w:val="nil"/>
          <w:between w:val="nil"/>
        </w:pBdr>
        <w:shd w:val="clear" w:color="auto" w:fill="FFFFFF"/>
        <w:jc w:val="both"/>
        <w:rPr>
          <w:rFonts w:ascii="Helvetica" w:eastAsia="Helvetica Neue" w:hAnsi="Helvetica" w:cs="Helvetica"/>
          <w:color w:val="000000"/>
          <w:sz w:val="16"/>
          <w:szCs w:val="16"/>
        </w:rPr>
      </w:pPr>
      <w:r w:rsidRPr="00531D0E">
        <w:rPr>
          <w:rFonts w:ascii="Helvetica" w:eastAsia="Helvetica Neue" w:hAnsi="Helvetica" w:cs="Helvetica"/>
          <w:b/>
          <w:color w:val="000000"/>
          <w:sz w:val="16"/>
          <w:szCs w:val="16"/>
        </w:rPr>
        <w:t>How to cite</w:t>
      </w:r>
      <w:r>
        <w:rPr>
          <w:rFonts w:ascii="Helvetica" w:eastAsia="Helvetica Neue" w:hAnsi="Helvetica" w:cs="Helvetica"/>
          <w:color w:val="000000"/>
          <w:sz w:val="16"/>
          <w:szCs w:val="16"/>
        </w:rPr>
        <w:t xml:space="preserve">: </w:t>
      </w:r>
      <w:r w:rsidR="009116D8" w:rsidRPr="009116D8">
        <w:rPr>
          <w:rFonts w:ascii="Helvetica" w:eastAsia="Helvetica Neue" w:hAnsi="Helvetica" w:cs="Helvetica"/>
          <w:color w:val="000000"/>
          <w:sz w:val="16"/>
          <w:szCs w:val="16"/>
        </w:rPr>
        <w:t xml:space="preserve">Fadia </w:t>
      </w:r>
      <w:proofErr w:type="spellStart"/>
      <w:r w:rsidR="009116D8" w:rsidRPr="009116D8">
        <w:rPr>
          <w:rFonts w:ascii="Helvetica" w:eastAsia="Helvetica Neue" w:hAnsi="Helvetica" w:cs="Helvetica"/>
          <w:color w:val="000000"/>
          <w:sz w:val="16"/>
          <w:szCs w:val="16"/>
        </w:rPr>
        <w:t>Rakhmalia</w:t>
      </w:r>
      <w:proofErr w:type="spellEnd"/>
      <w:r w:rsidR="009116D8" w:rsidRPr="009116D8">
        <w:rPr>
          <w:rFonts w:ascii="Helvetica" w:eastAsia="Helvetica Neue" w:hAnsi="Helvetica" w:cs="Helvetica"/>
          <w:color w:val="000000"/>
          <w:sz w:val="16"/>
          <w:szCs w:val="16"/>
        </w:rPr>
        <w:t xml:space="preserve">, Anik </w:t>
      </w:r>
      <w:proofErr w:type="spellStart"/>
      <w:r w:rsidR="009116D8" w:rsidRPr="009116D8">
        <w:rPr>
          <w:rFonts w:ascii="Helvetica" w:eastAsia="Helvetica Neue" w:hAnsi="Helvetica" w:cs="Helvetica"/>
          <w:color w:val="000000"/>
          <w:sz w:val="16"/>
          <w:szCs w:val="16"/>
        </w:rPr>
        <w:t>Handayati</w:t>
      </w:r>
      <w:proofErr w:type="spellEnd"/>
      <w:r w:rsidR="00280E0D">
        <w:rPr>
          <w:rFonts w:ascii="Helvetica" w:eastAsia="Helvetica Neue" w:hAnsi="Helvetica" w:cs="Helvetica"/>
          <w:color w:val="000000"/>
          <w:sz w:val="16"/>
          <w:szCs w:val="16"/>
        </w:rPr>
        <w:t xml:space="preserve">, </w:t>
      </w:r>
      <w:r w:rsidR="009116D8" w:rsidRPr="009116D8">
        <w:rPr>
          <w:rFonts w:ascii="Helvetica" w:eastAsia="Helvetica Neue" w:hAnsi="Helvetica" w:cs="Helvetica"/>
          <w:color w:val="000000"/>
          <w:sz w:val="16"/>
          <w:szCs w:val="16"/>
        </w:rPr>
        <w:t xml:space="preserve">Evy Diah </w:t>
      </w:r>
      <w:proofErr w:type="spellStart"/>
      <w:r w:rsidR="009116D8" w:rsidRPr="009116D8">
        <w:rPr>
          <w:rFonts w:ascii="Helvetica" w:eastAsia="Helvetica Neue" w:hAnsi="Helvetica" w:cs="Helvetica"/>
          <w:color w:val="000000"/>
          <w:sz w:val="16"/>
          <w:szCs w:val="16"/>
        </w:rPr>
        <w:t>Woelansari</w:t>
      </w:r>
      <w:proofErr w:type="spellEnd"/>
      <w:r w:rsidR="00280E0D">
        <w:rPr>
          <w:rFonts w:ascii="Helvetica" w:eastAsia="Helvetica Neue" w:hAnsi="Helvetica" w:cs="Helvetica"/>
          <w:color w:val="000000"/>
          <w:sz w:val="16"/>
          <w:szCs w:val="16"/>
        </w:rPr>
        <w:t xml:space="preserve">, </w:t>
      </w:r>
      <w:r w:rsidR="00280E0D" w:rsidRPr="00280E0D">
        <w:rPr>
          <w:rFonts w:ascii="Helvetica" w:eastAsia="Helvetica Neue" w:hAnsi="Helvetica" w:cs="Helvetica"/>
          <w:color w:val="000000"/>
          <w:sz w:val="16"/>
          <w:szCs w:val="16"/>
        </w:rPr>
        <w:t>Mohd Nazil Salleh</w:t>
      </w:r>
      <w:r>
        <w:rPr>
          <w:rFonts w:ascii="Helvetica" w:eastAsia="Helvetica Neue" w:hAnsi="Helvetica" w:cs="Helvetica"/>
          <w:color w:val="000000"/>
          <w:sz w:val="16"/>
          <w:szCs w:val="16"/>
        </w:rPr>
        <w:t>, “</w:t>
      </w:r>
      <w:r w:rsidR="00C04E4A" w:rsidRPr="00C04E4A">
        <w:rPr>
          <w:rFonts w:ascii="Helvetica" w:eastAsia="Helvetica Neue" w:hAnsi="Helvetica" w:cs="Helvetica"/>
          <w:color w:val="000000"/>
          <w:sz w:val="16"/>
          <w:szCs w:val="16"/>
        </w:rPr>
        <w:t>Analysis of Images of Neutrophil Lymphocyte Ratio and Bacteria Density Level of Helicobacter Pylori in Tissue in Gastritis Patients</w:t>
      </w:r>
      <w:r w:rsidRPr="00531D0E">
        <w:rPr>
          <w:rFonts w:ascii="Helvetica" w:eastAsia="Helvetica Neue" w:hAnsi="Helvetica" w:cs="Helvetica"/>
          <w:color w:val="000000"/>
          <w:sz w:val="16"/>
          <w:szCs w:val="16"/>
        </w:rPr>
        <w:t xml:space="preserve">”, International Journal of Advanced Health Science and Technology, vol. 2, no. </w:t>
      </w:r>
      <w:r>
        <w:rPr>
          <w:rFonts w:ascii="Helvetica" w:eastAsia="Helvetica Neue" w:hAnsi="Helvetica" w:cs="Helvetica"/>
          <w:color w:val="000000"/>
          <w:sz w:val="16"/>
          <w:szCs w:val="16"/>
        </w:rPr>
        <w:t>6</w:t>
      </w:r>
      <w:r w:rsidRPr="00531D0E">
        <w:rPr>
          <w:rFonts w:ascii="Helvetica" w:eastAsia="Helvetica Neue" w:hAnsi="Helvetica" w:cs="Helvetica"/>
          <w:color w:val="000000"/>
          <w:sz w:val="16"/>
          <w:szCs w:val="16"/>
        </w:rPr>
        <w:t xml:space="preserve">, pp. </w:t>
      </w:r>
      <w:r w:rsidR="009569D6">
        <w:rPr>
          <w:rFonts w:ascii="Helvetica" w:eastAsia="Helvetica Neue" w:hAnsi="Helvetica" w:cs="Helvetica"/>
          <w:color w:val="000000"/>
          <w:sz w:val="16"/>
          <w:szCs w:val="16"/>
        </w:rPr>
        <w:t>407</w:t>
      </w:r>
      <w:r w:rsidRPr="00531D0E">
        <w:rPr>
          <w:rFonts w:ascii="Helvetica" w:eastAsia="Helvetica Neue" w:hAnsi="Helvetica" w:cs="Helvetica"/>
          <w:color w:val="000000"/>
          <w:sz w:val="16"/>
          <w:szCs w:val="16"/>
        </w:rPr>
        <w:t>–</w:t>
      </w:r>
      <w:r w:rsidR="009569D6">
        <w:rPr>
          <w:rFonts w:ascii="Helvetica" w:eastAsia="Helvetica Neue" w:hAnsi="Helvetica" w:cs="Helvetica"/>
          <w:color w:val="000000"/>
          <w:sz w:val="16"/>
          <w:szCs w:val="16"/>
        </w:rPr>
        <w:t>413</w:t>
      </w:r>
      <w:r w:rsidRPr="00531D0E">
        <w:rPr>
          <w:rFonts w:ascii="Helvetica" w:eastAsia="Helvetica Neue" w:hAnsi="Helvetica" w:cs="Helvetica"/>
          <w:color w:val="000000"/>
          <w:sz w:val="16"/>
          <w:szCs w:val="16"/>
        </w:rPr>
        <w:t xml:space="preserve">, </w:t>
      </w:r>
      <w:r>
        <w:rPr>
          <w:rFonts w:ascii="Helvetica" w:eastAsia="Helvetica Neue" w:hAnsi="Helvetica" w:cs="Helvetica"/>
          <w:color w:val="000000"/>
          <w:sz w:val="16"/>
          <w:szCs w:val="16"/>
        </w:rPr>
        <w:t>December</w:t>
      </w:r>
      <w:r w:rsidRPr="00531D0E">
        <w:rPr>
          <w:rFonts w:ascii="Helvetica" w:eastAsia="Helvetica Neue" w:hAnsi="Helvetica" w:cs="Helvetica"/>
          <w:color w:val="000000"/>
          <w:sz w:val="16"/>
          <w:szCs w:val="16"/>
        </w:rPr>
        <w:t>. 2022.</w:t>
      </w:r>
      <w:r>
        <w:rPr>
          <w:rFonts w:ascii="Helvetica" w:eastAsia="Helvetica Neue" w:hAnsi="Helvetica" w:cs="Helvetica"/>
          <w:color w:val="000000"/>
          <w:sz w:val="16"/>
          <w:szCs w:val="16"/>
        </w:rPr>
        <w:t xml:space="preserve"> </w:t>
      </w:r>
    </w:p>
    <w:p w14:paraId="43E5833D" w14:textId="77777777" w:rsidR="001676A7" w:rsidRPr="00842CBB" w:rsidRDefault="00920859" w:rsidP="001676A7">
      <w:pPr>
        <w:pStyle w:val="Title"/>
      </w:pPr>
      <w:r>
        <w:t>Analysis</w:t>
      </w:r>
      <w:r w:rsidR="00B53540">
        <w:t xml:space="preserve"> of Images of Neutrophil</w:t>
      </w:r>
      <w:r w:rsidR="0086672D">
        <w:t xml:space="preserve"> Lymphocyte Ratio</w:t>
      </w:r>
      <w:r>
        <w:t xml:space="preserve"> and Bacteria Density Level of Helicobacter Pylori in Tissue in Gastritis Patients</w:t>
      </w:r>
    </w:p>
    <w:p w14:paraId="56E899A5" w14:textId="778C27BE" w:rsidR="00EA5D2D" w:rsidRPr="00E40BBF" w:rsidRDefault="00920859" w:rsidP="00E40BBF">
      <w:pPr>
        <w:pStyle w:val="AU"/>
        <w:spacing w:after="0"/>
        <w:ind w:right="770"/>
        <w:rPr>
          <w:rFonts w:cs="Helvetica"/>
          <w:sz w:val="24"/>
          <w:szCs w:val="24"/>
        </w:rPr>
      </w:pPr>
      <w:r w:rsidRPr="00132C0C">
        <w:rPr>
          <w:rFonts w:cs="Helvetica"/>
          <w:sz w:val="24"/>
          <w:szCs w:val="24"/>
        </w:rPr>
        <w:t>Fadia Rakhmalia</w:t>
      </w:r>
      <w:r w:rsidRPr="00132C0C">
        <w:rPr>
          <w:rFonts w:cs="Helvetica"/>
          <w:sz w:val="24"/>
          <w:szCs w:val="24"/>
          <w:vertAlign w:val="superscript"/>
        </w:rPr>
        <w:t>1</w:t>
      </w:r>
      <w:r w:rsidR="00E40BBF">
        <w:rPr>
          <w:rFonts w:cs="Helvetica"/>
          <w:sz w:val="24"/>
          <w:szCs w:val="24"/>
        </w:rPr>
        <w:t xml:space="preserve"> </w:t>
      </w:r>
      <w:r w:rsidR="00E40BBF">
        <w:rPr>
          <w:rFonts w:cs="Helvetica"/>
          <w:b w:val="0"/>
          <w:bCs/>
          <w:noProof/>
          <w:sz w:val="24"/>
          <w:szCs w:val="24"/>
        </w:rPr>
        <w:drawing>
          <wp:inline distT="0" distB="0" distL="0" distR="0" wp14:anchorId="56DD904B" wp14:editId="6A5923CE">
            <wp:extent cx="126000" cy="126000"/>
            <wp:effectExtent l="0" t="0" r="7620" b="7620"/>
            <wp:docPr id="10" name="Picture 1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10"/>
                    </pic:cNvPr>
                    <pic:cNvPicPr/>
                  </pic:nvPicPr>
                  <pic:blipFill>
                    <a:blip r:embed="rId11">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r w:rsidRPr="00132C0C">
        <w:rPr>
          <w:rFonts w:cs="Helvetica"/>
          <w:sz w:val="24"/>
          <w:szCs w:val="24"/>
        </w:rPr>
        <w:t>, Anik Handayati</w:t>
      </w:r>
      <w:r w:rsidRPr="00132C0C">
        <w:rPr>
          <w:rFonts w:cs="Helvetica"/>
          <w:sz w:val="24"/>
          <w:szCs w:val="24"/>
          <w:vertAlign w:val="superscript"/>
        </w:rPr>
        <w:t>1</w:t>
      </w:r>
      <w:r w:rsidR="00E40BBF">
        <w:rPr>
          <w:rFonts w:cs="Helvetica"/>
          <w:sz w:val="24"/>
          <w:szCs w:val="24"/>
        </w:rPr>
        <w:t xml:space="preserve"> </w:t>
      </w:r>
      <w:r w:rsidR="00E40BBF">
        <w:rPr>
          <w:rFonts w:cs="Helvetica"/>
          <w:b w:val="0"/>
          <w:bCs/>
          <w:noProof/>
          <w:sz w:val="24"/>
          <w:szCs w:val="24"/>
        </w:rPr>
        <w:drawing>
          <wp:inline distT="0" distB="0" distL="0" distR="0" wp14:anchorId="388E303F" wp14:editId="78BF7704">
            <wp:extent cx="126000" cy="126000"/>
            <wp:effectExtent l="0" t="0" r="7620" b="7620"/>
            <wp:docPr id="8" name="Picture 8">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12"/>
                    </pic:cNvPr>
                    <pic:cNvPicPr/>
                  </pic:nvPicPr>
                  <pic:blipFill>
                    <a:blip r:embed="rId11">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r w:rsidR="00E40BBF">
        <w:rPr>
          <w:rFonts w:cs="Helvetica"/>
          <w:sz w:val="24"/>
          <w:szCs w:val="24"/>
        </w:rPr>
        <w:t xml:space="preserve">, </w:t>
      </w:r>
      <w:r w:rsidRPr="00132C0C">
        <w:rPr>
          <w:rFonts w:cs="Helvetica"/>
          <w:sz w:val="24"/>
          <w:szCs w:val="24"/>
        </w:rPr>
        <w:t>Evy Diah Woelansari</w:t>
      </w:r>
      <w:r w:rsidRPr="00132C0C">
        <w:rPr>
          <w:rFonts w:cs="Helvetica"/>
          <w:sz w:val="24"/>
          <w:szCs w:val="24"/>
          <w:vertAlign w:val="superscript"/>
        </w:rPr>
        <w:t>1</w:t>
      </w:r>
      <w:r w:rsidR="00E40BBF">
        <w:rPr>
          <w:rFonts w:cs="Helvetica"/>
          <w:sz w:val="24"/>
          <w:szCs w:val="24"/>
        </w:rPr>
        <w:t xml:space="preserve"> </w:t>
      </w:r>
      <w:r w:rsidR="00E40BBF">
        <w:rPr>
          <w:rFonts w:cs="Helvetica"/>
          <w:b w:val="0"/>
          <w:bCs/>
          <w:noProof/>
          <w:sz w:val="24"/>
          <w:szCs w:val="24"/>
        </w:rPr>
        <w:drawing>
          <wp:inline distT="0" distB="0" distL="0" distR="0" wp14:anchorId="7B0AD258" wp14:editId="6445C4D8">
            <wp:extent cx="126000" cy="126000"/>
            <wp:effectExtent l="0" t="0" r="7620" b="7620"/>
            <wp:docPr id="6" name="Picture 6">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13"/>
                    </pic:cNvPr>
                    <pic:cNvPicPr/>
                  </pic:nvPicPr>
                  <pic:blipFill>
                    <a:blip r:embed="rId11">
                      <a:extLst>
                        <a:ext uri="{28A0092B-C50C-407E-A947-70E740481C1C}">
                          <a14:useLocalDpi xmlns:a14="http://schemas.microsoft.com/office/drawing/2010/main" val="0"/>
                        </a:ext>
                      </a:extLst>
                    </a:blip>
                    <a:stretch>
                      <a:fillRect/>
                    </a:stretch>
                  </pic:blipFill>
                  <pic:spPr>
                    <a:xfrm>
                      <a:off x="0" y="0"/>
                      <a:ext cx="126000" cy="126000"/>
                    </a:xfrm>
                    <a:prstGeom prst="rect">
                      <a:avLst/>
                    </a:prstGeom>
                  </pic:spPr>
                </pic:pic>
              </a:graphicData>
            </a:graphic>
          </wp:inline>
        </w:drawing>
      </w:r>
      <w:r w:rsidR="00E40BBF">
        <w:rPr>
          <w:rFonts w:cs="Helvetica"/>
          <w:sz w:val="24"/>
          <w:szCs w:val="24"/>
        </w:rPr>
        <w:t xml:space="preserve">, and </w:t>
      </w:r>
      <w:r w:rsidR="00E40BBF" w:rsidRPr="00E40BBF">
        <w:rPr>
          <w:rFonts w:cs="Helvetica"/>
          <w:sz w:val="24"/>
          <w:szCs w:val="24"/>
        </w:rPr>
        <w:t>Mohd Nazil Salleh</w:t>
      </w:r>
      <w:r w:rsidR="00E40BBF" w:rsidRPr="00E40BBF">
        <w:rPr>
          <w:rFonts w:cs="Helvetica"/>
          <w:sz w:val="24"/>
          <w:szCs w:val="24"/>
          <w:vertAlign w:val="superscript"/>
        </w:rPr>
        <w:t>2</w:t>
      </w:r>
      <w:r w:rsidR="00E40BBF">
        <w:rPr>
          <w:rFonts w:cs="Helvetica"/>
          <w:sz w:val="24"/>
          <w:szCs w:val="24"/>
        </w:rPr>
        <w:t xml:space="preserve"> </w:t>
      </w:r>
      <w:r w:rsidR="00E40BBF">
        <w:rPr>
          <w:rFonts w:cs="Helvetica"/>
          <w:noProof/>
          <w:sz w:val="24"/>
          <w:szCs w:val="24"/>
        </w:rPr>
        <w:drawing>
          <wp:inline distT="0" distB="0" distL="0" distR="0" wp14:anchorId="39FC6ABB" wp14:editId="639D7DFD">
            <wp:extent cx="128270" cy="128270"/>
            <wp:effectExtent l="0" t="0" r="5080" b="5080"/>
            <wp:docPr id="5" name="Picture 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8270" cy="128270"/>
                    </a:xfrm>
                    <a:prstGeom prst="rect">
                      <a:avLst/>
                    </a:prstGeom>
                    <a:noFill/>
                  </pic:spPr>
                </pic:pic>
              </a:graphicData>
            </a:graphic>
          </wp:inline>
        </w:drawing>
      </w:r>
    </w:p>
    <w:p w14:paraId="345B2AA8" w14:textId="1FD00AD5" w:rsidR="00084BD2" w:rsidRDefault="005C261D" w:rsidP="008B67BD">
      <w:pPr>
        <w:pStyle w:val="PINoSpace"/>
        <w:rPr>
          <w:rFonts w:ascii="Helvetica" w:hAnsi="Helvetica" w:cs="Helvetica"/>
          <w:sz w:val="16"/>
          <w:szCs w:val="16"/>
        </w:rPr>
      </w:pPr>
      <w:r w:rsidRPr="00132C0C">
        <w:rPr>
          <w:rFonts w:ascii="Helvetica" w:hAnsi="Helvetica" w:cs="Helvetica"/>
          <w:sz w:val="16"/>
          <w:szCs w:val="16"/>
          <w:vertAlign w:val="superscript"/>
        </w:rPr>
        <w:t>1</w:t>
      </w:r>
      <w:r w:rsidR="00E40BBF">
        <w:rPr>
          <w:rFonts w:ascii="Helvetica" w:hAnsi="Helvetica" w:cs="Helvetica"/>
          <w:sz w:val="16"/>
          <w:szCs w:val="16"/>
          <w:vertAlign w:val="superscript"/>
        </w:rPr>
        <w:t xml:space="preserve"> </w:t>
      </w:r>
      <w:r w:rsidR="00920859" w:rsidRPr="00132C0C">
        <w:rPr>
          <w:rFonts w:ascii="Helvetica" w:hAnsi="Helvetica" w:cs="Helvetica"/>
          <w:sz w:val="16"/>
          <w:szCs w:val="16"/>
        </w:rPr>
        <w:t>Department of Medical Laboratory Technology, Health Polytechnic Ministry of Health Surabaya, Indonesia</w:t>
      </w:r>
    </w:p>
    <w:p w14:paraId="7278CFFD" w14:textId="7DF1FE65" w:rsidR="00E40BBF" w:rsidRPr="00132C0C" w:rsidRDefault="00E40BBF" w:rsidP="00E40BBF">
      <w:pPr>
        <w:pStyle w:val="PINoSpace"/>
        <w:ind w:right="50"/>
        <w:rPr>
          <w:rFonts w:ascii="Helvetica" w:hAnsi="Helvetica" w:cs="Helvetica"/>
          <w:sz w:val="16"/>
          <w:szCs w:val="16"/>
        </w:rPr>
      </w:pPr>
      <w:r w:rsidRPr="00E40BBF">
        <w:rPr>
          <w:rFonts w:ascii="Helvetica" w:hAnsi="Helvetica" w:cs="Helvetica"/>
          <w:sz w:val="16"/>
          <w:szCs w:val="16"/>
          <w:vertAlign w:val="superscript"/>
        </w:rPr>
        <w:t>2</w:t>
      </w:r>
      <w:r>
        <w:rPr>
          <w:rFonts w:ascii="Helvetica" w:hAnsi="Helvetica" w:cs="Helvetica"/>
          <w:sz w:val="16"/>
          <w:szCs w:val="16"/>
        </w:rPr>
        <w:t xml:space="preserve"> </w:t>
      </w:r>
      <w:r w:rsidRPr="00E40BBF">
        <w:rPr>
          <w:rFonts w:ascii="Helvetica" w:hAnsi="Helvetica" w:cs="Helvetica"/>
          <w:sz w:val="16"/>
          <w:szCs w:val="16"/>
        </w:rPr>
        <w:t>Institute of Biomedical Science, Malaysia Institute Medical Laboratory Science, PICOMS International University College, Malaysia</w:t>
      </w:r>
    </w:p>
    <w:p w14:paraId="28802F19" w14:textId="77777777" w:rsidR="005C261D" w:rsidRPr="00132C0C" w:rsidRDefault="005C261D" w:rsidP="005C261D">
      <w:pPr>
        <w:pStyle w:val="PI"/>
        <w:spacing w:before="100" w:after="100"/>
        <w:ind w:right="1598" w:firstLine="0"/>
        <w:rPr>
          <w:rFonts w:ascii="Helvetica" w:hAnsi="Helvetica" w:cs="Helvetica"/>
          <w:sz w:val="16"/>
          <w:szCs w:val="16"/>
        </w:rPr>
      </w:pPr>
      <w:r w:rsidRPr="00132C0C">
        <w:rPr>
          <w:rFonts w:ascii="Helvetica" w:hAnsi="Helvetica" w:cs="Helvetica"/>
          <w:sz w:val="16"/>
          <w:szCs w:val="16"/>
        </w:rPr>
        <w:t xml:space="preserve">Corresponding author: Anik </w:t>
      </w:r>
      <w:proofErr w:type="spellStart"/>
      <w:r w:rsidRPr="00132C0C">
        <w:rPr>
          <w:rFonts w:ascii="Helvetica" w:hAnsi="Helvetica" w:cs="Helvetica"/>
          <w:sz w:val="16"/>
          <w:szCs w:val="16"/>
        </w:rPr>
        <w:t>Handayati</w:t>
      </w:r>
      <w:proofErr w:type="spellEnd"/>
      <w:r w:rsidRPr="00132C0C">
        <w:rPr>
          <w:rFonts w:ascii="Helvetica" w:hAnsi="Helvetica" w:cs="Helvetica"/>
          <w:sz w:val="16"/>
          <w:szCs w:val="16"/>
        </w:rPr>
        <w:t xml:space="preserve"> (e-mail: </w:t>
      </w:r>
      <w:proofErr w:type="gramStart"/>
      <w:r w:rsidRPr="00132C0C">
        <w:rPr>
          <w:rFonts w:ascii="Helvetica" w:hAnsi="Helvetica" w:cs="Helvetica"/>
          <w:sz w:val="16"/>
          <w:szCs w:val="16"/>
        </w:rPr>
        <w:t>fadiarakhmalia@gmail.com )</w:t>
      </w:r>
      <w:proofErr w:type="gramEnd"/>
      <w:r w:rsidRPr="00132C0C">
        <w:rPr>
          <w:rFonts w:ascii="Helvetica" w:hAnsi="Helvetica" w:cs="Helvetica"/>
          <w:sz w:val="16"/>
          <w:szCs w:val="16"/>
        </w:rPr>
        <w:t>.</w:t>
      </w:r>
    </w:p>
    <w:p w14:paraId="589B912C" w14:textId="77777777" w:rsidR="005C261D" w:rsidRPr="00132C0C" w:rsidRDefault="00884CEC" w:rsidP="005C261D">
      <w:pPr>
        <w:pStyle w:val="FootnoteText"/>
        <w:spacing w:after="540"/>
        <w:ind w:firstLine="0"/>
        <w:rPr>
          <w:rFonts w:ascii="Helvetica" w:hAnsi="Helvetica" w:cs="Helvetica"/>
          <w:lang w:val="en-US"/>
        </w:rPr>
      </w:pPr>
      <w:r w:rsidRPr="00132C0C">
        <w:rPr>
          <w:rFonts w:ascii="Helvetica" w:hAnsi="Helvetica" w:cs="Helvetica"/>
          <w:lang w:val="en-US"/>
        </w:rPr>
        <w:t>“This work was supported in part by the Department of Medical Laboratory Technology, Health Polytechnic Ministry of Health Surabaya”</w:t>
      </w:r>
    </w:p>
    <w:p w14:paraId="631D1C93" w14:textId="324E19C9" w:rsidR="00884CEC" w:rsidRPr="006E5822" w:rsidRDefault="00EA5D2D" w:rsidP="006775DE">
      <w:pPr>
        <w:pStyle w:val="Abstract"/>
        <w:ind w:right="50"/>
      </w:pPr>
      <w:r w:rsidRPr="00842CBB">
        <w:rPr>
          <w:rStyle w:val="AIHeadChar"/>
          <w:rFonts w:cs="TimesLTStd-Roman"/>
        </w:rPr>
        <w:t>ABSTRACT</w:t>
      </w:r>
      <w:r w:rsidR="005D7A62">
        <w:rPr>
          <w:rStyle w:val="AIHeadChar"/>
          <w:rFonts w:cs="TimesLTStd-Roman"/>
        </w:rPr>
        <w:t xml:space="preserve"> </w:t>
      </w:r>
      <w:r w:rsidR="0069405D" w:rsidRPr="00467C19">
        <w:t xml:space="preserve">A chronic inflammatory condition, gastritis can extend for years. The most prevalent cause of gastritis and the primary cause of peptic ulcers, respectively, are infections with </w:t>
      </w:r>
      <w:r w:rsidR="0069405D" w:rsidRPr="00F162BF">
        <w:rPr>
          <w:i/>
        </w:rPr>
        <w:t>Helicobacter pylori</w:t>
      </w:r>
      <w:r w:rsidR="0069405D" w:rsidRPr="00467C19">
        <w:t>. In comparison to non-</w:t>
      </w:r>
      <w:r w:rsidR="0069405D" w:rsidRPr="00467C19">
        <w:rPr>
          <w:i/>
        </w:rPr>
        <w:t>Helicobacter Pylori</w:t>
      </w:r>
      <w:r w:rsidR="0069405D" w:rsidRPr="00467C19">
        <w:t xml:space="preserve"> gastritis, </w:t>
      </w:r>
      <w:r w:rsidR="0069405D" w:rsidRPr="00467C19">
        <w:rPr>
          <w:i/>
        </w:rPr>
        <w:t>Helicobacter Pylori</w:t>
      </w:r>
      <w:r w:rsidR="0069405D" w:rsidRPr="00467C19">
        <w:t xml:space="preserve"> infection results in mononuclear (MN) and polymorphonuclear (PMN) cell infiltration and increases the production of proinflammatory cytokines in the stomach mucosa. Histopathological testing for </w:t>
      </w:r>
      <w:r w:rsidR="0069405D" w:rsidRPr="00467C19">
        <w:rPr>
          <w:i/>
        </w:rPr>
        <w:t>Helicobacter Pylori</w:t>
      </w:r>
      <w:r w:rsidR="0069405D" w:rsidRPr="00467C19">
        <w:t xml:space="preserve"> to make the diagnosis</w:t>
      </w:r>
      <w:r w:rsidR="0069405D" w:rsidRPr="006E5822">
        <w:t xml:space="preserve">. </w:t>
      </w:r>
      <w:r w:rsidR="0069405D" w:rsidRPr="006E5822">
        <w:rPr>
          <w:rStyle w:val="CommentReference"/>
          <w:sz w:val="20"/>
          <w:szCs w:val="20"/>
        </w:rPr>
        <w:t>The aim of this study was to analyze the neutrophil lymphocyte ratio (NLR) in patients with gastritis caused by</w:t>
      </w:r>
      <w:r w:rsidR="0069405D">
        <w:rPr>
          <w:rStyle w:val="CommentReference"/>
          <w:sz w:val="20"/>
          <w:szCs w:val="20"/>
        </w:rPr>
        <w:t xml:space="preserve"> </w:t>
      </w:r>
      <w:r w:rsidR="0069405D" w:rsidRPr="00467C19">
        <w:rPr>
          <w:rStyle w:val="CommentReference"/>
          <w:sz w:val="20"/>
          <w:szCs w:val="20"/>
        </w:rPr>
        <w:t xml:space="preserve">histological analysis, </w:t>
      </w:r>
      <w:r w:rsidR="0069405D" w:rsidRPr="00467C19">
        <w:rPr>
          <w:rStyle w:val="CommentReference"/>
          <w:i/>
          <w:sz w:val="20"/>
          <w:szCs w:val="20"/>
        </w:rPr>
        <w:t>Helicobacter Pylori</w:t>
      </w:r>
      <w:r w:rsidR="0069405D" w:rsidRPr="00467C19">
        <w:rPr>
          <w:rStyle w:val="CommentReference"/>
          <w:sz w:val="20"/>
          <w:szCs w:val="20"/>
        </w:rPr>
        <w:t xml:space="preserve"> was diagnosed. This sort of study was conducted at the Anatomical Pathology Laboratory Installation, RSPAL dr. Ramelan Surabaya, using descriptive observational research and purposive sampling. The information used includes the outcomes of a biopsy of 60 samples that were identified as having gastritis with histopathological analysis of the identification of </w:t>
      </w:r>
      <w:r w:rsidR="0069405D" w:rsidRPr="00467C19">
        <w:rPr>
          <w:rStyle w:val="CommentReference"/>
          <w:i/>
          <w:sz w:val="20"/>
          <w:szCs w:val="20"/>
        </w:rPr>
        <w:t>Helicobacter pylori</w:t>
      </w:r>
      <w:r w:rsidR="0069405D" w:rsidRPr="00467C19">
        <w:rPr>
          <w:rStyle w:val="CommentReference"/>
          <w:sz w:val="20"/>
          <w:szCs w:val="20"/>
        </w:rPr>
        <w:t xml:space="preserve"> bacteria in gastric tissue classified by the level of bacterial density using </w:t>
      </w:r>
      <w:r w:rsidR="0069405D" w:rsidRPr="00467C19">
        <w:rPr>
          <w:rStyle w:val="CommentReference"/>
          <w:i/>
          <w:sz w:val="20"/>
          <w:szCs w:val="20"/>
        </w:rPr>
        <w:t>The Updated Sydney System</w:t>
      </w:r>
      <w:r w:rsidR="0069405D" w:rsidRPr="00467C19">
        <w:rPr>
          <w:rStyle w:val="CommentReference"/>
          <w:sz w:val="20"/>
          <w:szCs w:val="20"/>
        </w:rPr>
        <w:t xml:space="preserve">, as well as </w:t>
      </w:r>
      <w:proofErr w:type="spellStart"/>
      <w:r w:rsidR="0069405D" w:rsidRPr="00467C19">
        <w:rPr>
          <w:rStyle w:val="CommentReference"/>
          <w:sz w:val="20"/>
          <w:szCs w:val="20"/>
        </w:rPr>
        <w:t>haemogram</w:t>
      </w:r>
      <w:proofErr w:type="spellEnd"/>
      <w:r w:rsidR="0069405D" w:rsidRPr="00467C19">
        <w:rPr>
          <w:rStyle w:val="CommentReference"/>
          <w:sz w:val="20"/>
          <w:szCs w:val="20"/>
        </w:rPr>
        <w:t xml:space="preserve"> data for complete blood examination to further calculate the neutrophil lymphocyte ratio (NLR).</w:t>
      </w:r>
      <w:r w:rsidR="0069405D" w:rsidRPr="006E5822">
        <w:t xml:space="preserve"> The data were processed using descriptive statistical tests to determine the average neutrophil lymphocyte ratio (NLR). </w:t>
      </w:r>
      <w:r w:rsidR="0069405D">
        <w:t xml:space="preserve">The density </w:t>
      </w:r>
      <w:r w:rsidR="0069405D" w:rsidRPr="006E5822">
        <w:t xml:space="preserve">of </w:t>
      </w:r>
      <w:r w:rsidR="0069405D">
        <w:rPr>
          <w:i/>
        </w:rPr>
        <w:t xml:space="preserve">Helicobacter </w:t>
      </w:r>
      <w:r w:rsidR="0069405D" w:rsidRPr="006E5822">
        <w:rPr>
          <w:i/>
        </w:rPr>
        <w:t>Pylori</w:t>
      </w:r>
      <w:r w:rsidR="0069405D">
        <w:t xml:space="preserve"> </w:t>
      </w:r>
      <w:r w:rsidR="0069405D" w:rsidRPr="00467C19">
        <w:t xml:space="preserve">of the r-Spearman test statistics indicates that </w:t>
      </w:r>
      <w:r w:rsidR="0069405D" w:rsidRPr="006E5822">
        <w:t>(</w:t>
      </w:r>
      <w:proofErr w:type="spellStart"/>
      <w:r w:rsidR="0069405D" w:rsidRPr="006E5822">
        <w:t>Pν</w:t>
      </w:r>
      <w:proofErr w:type="spellEnd"/>
      <w:r w:rsidR="0069405D" w:rsidRPr="006E5822">
        <w:t xml:space="preserve"> = 0.000) below &lt; 0.005 indicates that there is a strong relationship between the neutrophil lymphocyte ratio (NLR) and the density of </w:t>
      </w:r>
      <w:r w:rsidR="0069405D" w:rsidRPr="006E5822">
        <w:rPr>
          <w:i/>
        </w:rPr>
        <w:t>Helicobacter Pylori</w:t>
      </w:r>
      <w:r w:rsidR="0069405D" w:rsidRPr="006E5822">
        <w:t xml:space="preserve"> bacteria. The conclusion of this research is the neutrophil lymphocyte ratio (NLR) should be a parameter to check before the invasive treatment to </w:t>
      </w:r>
      <w:r w:rsidR="00F162BF" w:rsidRPr="006E5822">
        <w:t>Gastritis</w:t>
      </w:r>
      <w:r w:rsidR="0069405D" w:rsidRPr="006E5822">
        <w:t xml:space="preserve"> patient which is examining the histology of the tissue</w:t>
      </w:r>
      <w:r w:rsidR="00EA178A" w:rsidRPr="006E5822">
        <w:t>.</w:t>
      </w:r>
    </w:p>
    <w:p w14:paraId="6EDE1A34" w14:textId="77777777" w:rsidR="00D828C6" w:rsidRPr="00842CBB" w:rsidRDefault="00D828C6" w:rsidP="00884CEC">
      <w:pPr>
        <w:pStyle w:val="IndexTerms"/>
      </w:pPr>
      <w:r w:rsidRPr="00842CBB">
        <w:rPr>
          <w:rStyle w:val="AIHeadChar"/>
        </w:rPr>
        <w:t>INDEX TERMS</w:t>
      </w:r>
      <w:r w:rsidR="005D7A62">
        <w:rPr>
          <w:rStyle w:val="AIHeadChar"/>
        </w:rPr>
        <w:t xml:space="preserve"> </w:t>
      </w:r>
      <w:r w:rsidR="005C3955" w:rsidRPr="00842CBB">
        <w:t xml:space="preserve">Neutrophil lymphocyte ratio (NLR), </w:t>
      </w:r>
      <w:r w:rsidR="005C3955" w:rsidRPr="00F162BF">
        <w:rPr>
          <w:i/>
        </w:rPr>
        <w:t>Helicobacter Pylori</w:t>
      </w:r>
      <w:r w:rsidR="005C3955" w:rsidRPr="00842CBB">
        <w:t xml:space="preserve"> bacteria, Gastritis.</w:t>
      </w:r>
    </w:p>
    <w:p w14:paraId="59A01ED2" w14:textId="77777777" w:rsidR="00D828C6" w:rsidRPr="00842CBB" w:rsidRDefault="00D828C6" w:rsidP="003B3FFE">
      <w:pPr>
        <w:pStyle w:val="IndexTerms"/>
        <w:sectPr w:rsidR="00D828C6" w:rsidRPr="00842CBB" w:rsidSect="00C04E4A">
          <w:headerReference w:type="default" r:id="rId16"/>
          <w:footerReference w:type="default" r:id="rId17"/>
          <w:pgSz w:w="11520" w:h="15660" w:code="1"/>
          <w:pgMar w:top="990" w:right="740" w:bottom="1040" w:left="740" w:header="360" w:footer="500" w:gutter="0"/>
          <w:pgNumType w:start="407"/>
          <w:cols w:space="720"/>
          <w:docGrid w:linePitch="360"/>
        </w:sectPr>
      </w:pPr>
    </w:p>
    <w:p w14:paraId="6ECB47B6" w14:textId="77777777" w:rsidR="00D828C6" w:rsidRPr="00842CBB" w:rsidRDefault="00D828C6" w:rsidP="00CC401E">
      <w:pPr>
        <w:pStyle w:val="Heading1"/>
        <w:spacing w:before="0"/>
      </w:pPr>
      <w:r w:rsidRPr="00842CBB">
        <w:t>I. INTRODUCTION</w:t>
      </w:r>
    </w:p>
    <w:p w14:paraId="77DC7135" w14:textId="2818D157" w:rsidR="0069405D" w:rsidRDefault="00C4585E" w:rsidP="0069405D">
      <w:pPr>
        <w:spacing w:line="240" w:lineRule="exact"/>
        <w:ind w:firstLine="270"/>
        <w:jc w:val="both"/>
        <w:rPr>
          <w:sz w:val="20"/>
          <w:szCs w:val="20"/>
        </w:rPr>
      </w:pPr>
      <w:r>
        <w:rPr>
          <w:sz w:val="20"/>
          <w:szCs w:val="20"/>
        </w:rPr>
        <w:t>Gastritis is an inflammatory disease that can heal itself and cannot heal itself and lasts for a fairly long time</w:t>
      </w:r>
      <w:r>
        <w:rPr>
          <w:sz w:val="20"/>
          <w:szCs w:val="20"/>
        </w:rPr>
        <w:fldChar w:fldCharType="begin" w:fldLock="1"/>
      </w:r>
      <w:r>
        <w:rPr>
          <w:sz w:val="20"/>
          <w:szCs w:val="20"/>
        </w:rPr>
        <w:instrText>ADDIN CSL_CITATION {"citationItems":[{"id":"ITEM-1","itemData":{"DOI":"10.1016/j.cgh.2017.05.023","PMID":"28532700","abstract":"&amp;NA; Gastric cancer, 1 of the 5 most common causes of cancer death, is associated with a 5‐year overall survival rate less than 30%. A minority of cancers occurs as part of syndromic diseases; more than 90% of adenocarcinomas are considered as the ultimate consequence of a longstanding mucosal inflammation. Helicobacter pylori infection is the leading etiology of non–self‐limiting gastritis, which may result in atrophy of the gastric mucosa and impaired acid secretion. Gastric atrophy establishes a field of cancerization prone to further molecular and phenotypic changes, possibly resulting in cancer growth. This well‐understood natural history provides the clinicopathologic rationale for primary and secondary cancer prevention strategies. A large body of evidence demonstrates that combined primary (H pylori eradication) and secondary (mainly endoscopy) prevention efforts may prevent or limit the progression of gastric oncogenesis. This approach, which is tailored to different country‐specific gastric cancer incidence, socioeconomic, and cultural factors, requires that the complementary competences of gastroenterologists, oncologists, and pathologists be amalgamated into a common strategy of health policy.","author":[{"dropping-particle":"","family":"Rugge","given":"M","non-dropping-particle":"","parse-names":false,"suffix":""},{"dropping-particle":"","family":"Genta","given":"R","non-dropping-particle":"","parse-names":false,"suffix":""},{"dropping-particle":"","family":"Mario","given":"F","non-dropping-particle":"di","parse-names":false,"suffix":""},{"dropping-particle":"","family":"El-Omar","given":"E","non-dropping-particle":"","parse-names":false,"suffix":""},{"dropping-particle":"","family":"El‐Serag","given":"H","non-dropping-particle":"","parse-names":false,"suffix":""},{"dropping-particle":"","family":"Fassan","given":"M","non-dropping-particle":"","parse-names":false,"suffix":""},{"dropping-particle":"","family":"Hunt","given":"R","non-dropping-particle":"","parse-names":false,"suffix":""},{"dropping-particle":"","family":"Kuipers","given":"E","non-dropping-particle":"","parse-names":false,"suffix":""},{"dropping-particle":"","family":"Malfertheiner","given":"P","non-dropping-particle":"","parse-names":false,"suffix":""},{"dropping-particle":"","family":"Sugano","given":"K","non-dropping-particle":"","parse-names":false,"suffix":""},{"dropping-particle":"","family":"Graham","given":"D","non-dropping-particle":"","parse-names":false,"suffix":""}],"container-title":"Clinical Gastroenterology &amp; Hepatology","id":"ITEM-1","issued":{"date-parts":[["2017"]]},"page":"1833–1843","title":"Gastric Cancer as Preventable Disease","type":"article-journal","volume":"15"},"uris":["http://www.mendeley.com/documents/?uuid=047a146f-d672-4675-b503-a6e6d71bb7e3"]}],"mendeley":{"formattedCitation":"[1]","plainTextFormattedCitation":"[1]","previouslyFormattedCitation":"[1]"},"properties":{"noteIndex":0},"schema":"https://github.com/citation-style-language/schema/raw/master/csl-citation.json"}</w:instrText>
      </w:r>
      <w:r>
        <w:rPr>
          <w:sz w:val="20"/>
          <w:szCs w:val="20"/>
        </w:rPr>
        <w:fldChar w:fldCharType="separate"/>
      </w:r>
      <w:r>
        <w:rPr>
          <w:noProof/>
          <w:sz w:val="20"/>
          <w:szCs w:val="20"/>
        </w:rPr>
        <w:t>[1]</w:t>
      </w:r>
      <w:r>
        <w:rPr>
          <w:sz w:val="20"/>
          <w:szCs w:val="20"/>
        </w:rPr>
        <w:fldChar w:fldCharType="end"/>
      </w:r>
      <w:r>
        <w:rPr>
          <w:sz w:val="20"/>
          <w:szCs w:val="20"/>
        </w:rPr>
        <w:t xml:space="preserve">. Inflammatory gastritis, pre-cancerous gastric atrophy and intestinal metaplasia are also associated with </w:t>
      </w:r>
      <w:r w:rsidRPr="005D7A62">
        <w:rPr>
          <w:i/>
          <w:sz w:val="20"/>
          <w:szCs w:val="20"/>
        </w:rPr>
        <w:t>Helicobacter Pylori</w:t>
      </w:r>
      <w:r>
        <w:rPr>
          <w:sz w:val="20"/>
          <w:szCs w:val="20"/>
        </w:rPr>
        <w:t xml:space="preserve"> infection</w:t>
      </w:r>
      <w:r w:rsidR="005D7A62">
        <w:rPr>
          <w:sz w:val="20"/>
          <w:szCs w:val="20"/>
        </w:rPr>
        <w:t xml:space="preserve"> </w:t>
      </w:r>
      <w:r w:rsidR="00081D12">
        <w:rPr>
          <w:i/>
          <w:sz w:val="20"/>
          <w:szCs w:val="20"/>
        </w:rPr>
        <w:fldChar w:fldCharType="begin" w:fldLock="1"/>
      </w:r>
      <w:r w:rsidR="00081D12">
        <w:rPr>
          <w:i/>
          <w:sz w:val="20"/>
          <w:szCs w:val="20"/>
        </w:rPr>
        <w:instrText>ADDIN CSL_CITATION {"citationItems":[{"id":"ITEM-1","itemData":{"DOI":"10.1136/gutjnl-2019-319826","ISSN":"14683288","PMID":"31974133","abstract":"Objective Helicobacter pylori is associated with gastric inflammation, precancerous gastric atrophy (GA) and intestinal metaplasia (IM). We aimed to identify microbes that are associated with progressive inflammation, GA and IM 1 year after H. pylori eradication. Design A total of 587 H. pylori-positive patients were randomised to receive H. pylori eradication therapy (295 patients) or placebo (292 patients). Bacterial taxonomy was analysed on 404 gastric biopsy samples comprising 102 pairs before and after 1 year H. pylori eradication and 100 pairs before and after 1 year placebo by 16S rRNA sequencing. Results Analysis of microbial sequences confirmed the eradication of H. pylori in treated group after 1 year. Principal component analysis revealed distinct microbial clusters reflected by increase in bacterial diversity (p&lt;0.00001) after H. pylori eradication. While microbial interactions remained largely unchanged after placebo treatment, microbial co-occurrence was less in treated group. Acinetobacter lwoffii, Streptococcus anginosus and Ralstonia were enriched while Roseburia and Sphingomonas were depleted in patients with persistent inflammation 1 year after H. pylori eradication. A distinct cluster of oral bacteria comprising Peptostreptococcus, Streptococcus, Parvimonas, Prevotella, Rothia and Granulicatella were associated with emergence and persistence of GA and IM. Probiotic Faecalibacterium praustznii was depleted in subjects who developed GA following H. pylori eradication. Functional pathways including amino acid metabolism and inositol phosphate metabolism were enriched while folate biosynthesis and NOD-like receptor signalling decreased in atrophy/IM-associated gastric microbiota. Conclusion This study identified that gastric microbes contribute to the progression of gastric carcinogenesis after H. pylori eradication.","author":[{"dropping-particle":"","family":"Sung","given":"Joseph J.Y.","non-dropping-particle":"","parse-names":false,"suffix":""},{"dropping-particle":"","family":"Coker","given":"Olabisi Oluwabukola","non-dropping-particle":"","parse-names":false,"suffix":""},{"dropping-particle":"","family":"Chu","given":"Eagle","non-dropping-particle":"","parse-names":false,"suffix":""},{"dropping-particle":"","family":"Szeto","given":"Chun Ho","non-dropping-particle":"","parse-names":false,"suffix":""},{"dropping-particle":"","family":"Luk","given":"Simson Tsz Yat","non-dropping-particle":"","parse-names":false,"suffix":""},{"dropping-particle":"","family":"Lau","given":"Harry Cheuk Hay","non-dropping-particle":"","parse-names":false,"suffix":""},{"dropping-particle":"","family":"Yu","given":"Jun","non-dropping-particle":"","parse-names":false,"suffix":""}],"container-title":"Gut","id":"ITEM-1","issue":"9","issued":{"date-parts":[["2020"]]},"page":"1572-1580","title":"Gastric microbes associated with gastric inflammation, atrophy and intestinal metaplasia 1 year after Helicobacter pylori eradication","type":"article-journal","volume":"69"},"uris":["http://www.mendeley.com/documents/?uuid=51bbbace-47c9-4ff5-b07f-74b39700103e"]}],"mendeley":{"formattedCitation":"[2]","plainTextFormattedCitation":"[2]","previouslyFormattedCitation":"[2]"},"properties":{"noteIndex":0},"schema":"https://github.com/citation-style-language/schema/raw/master/csl-citation.json"}</w:instrText>
      </w:r>
      <w:r w:rsidR="00081D12">
        <w:rPr>
          <w:i/>
          <w:sz w:val="20"/>
          <w:szCs w:val="20"/>
        </w:rPr>
        <w:fldChar w:fldCharType="separate"/>
      </w:r>
      <w:r w:rsidR="00081D12" w:rsidRPr="00081D12">
        <w:rPr>
          <w:noProof/>
          <w:sz w:val="20"/>
          <w:szCs w:val="20"/>
        </w:rPr>
        <w:t>[2]</w:t>
      </w:r>
      <w:r w:rsidR="00081D12">
        <w:rPr>
          <w:i/>
          <w:sz w:val="20"/>
          <w:szCs w:val="20"/>
        </w:rPr>
        <w:fldChar w:fldCharType="end"/>
      </w:r>
      <w:r w:rsidR="007B3FA0">
        <w:rPr>
          <w:i/>
          <w:sz w:val="20"/>
          <w:szCs w:val="20"/>
        </w:rPr>
        <w:t xml:space="preserve">. </w:t>
      </w:r>
      <w:r>
        <w:rPr>
          <w:sz w:val="20"/>
          <w:szCs w:val="20"/>
        </w:rPr>
        <w:t xml:space="preserve">Gastritis can be caused by </w:t>
      </w:r>
      <w:r w:rsidRPr="005D7A62">
        <w:rPr>
          <w:i/>
          <w:sz w:val="20"/>
          <w:szCs w:val="20"/>
        </w:rPr>
        <w:t>Helicobacter Pylori</w:t>
      </w:r>
      <w:r>
        <w:rPr>
          <w:sz w:val="20"/>
          <w:szCs w:val="20"/>
        </w:rPr>
        <w:t xml:space="preserve"> inflammation, bile reflux, non-steroidal anti-inflammatory drugs, autoimmunity, or an allergic response. </w:t>
      </w:r>
      <w:r w:rsidRPr="005D7A62">
        <w:rPr>
          <w:i/>
          <w:sz w:val="20"/>
          <w:szCs w:val="20"/>
        </w:rPr>
        <w:t>Helicobacter pylori</w:t>
      </w:r>
      <w:r>
        <w:rPr>
          <w:sz w:val="20"/>
          <w:szCs w:val="20"/>
        </w:rPr>
        <w:t xml:space="preserve"> is the most common cause of </w:t>
      </w:r>
      <w:r>
        <w:rPr>
          <w:sz w:val="20"/>
          <w:szCs w:val="20"/>
        </w:rPr>
        <w:t>gastritis with an incidence of more than 80%</w:t>
      </w:r>
      <w:r w:rsidR="00081D12">
        <w:rPr>
          <w:sz w:val="20"/>
          <w:szCs w:val="20"/>
        </w:rPr>
        <w:fldChar w:fldCharType="begin" w:fldLock="1"/>
      </w:r>
      <w:r w:rsidR="00081D12">
        <w:rPr>
          <w:sz w:val="20"/>
          <w:szCs w:val="20"/>
        </w:rPr>
        <w:instrText>ADDIN CSL_CITATION {"citationItems":[{"id":"ITEM-1","itemData":{"abstract":"Gastritis merupakan penyakit yang ditandai dengan infl amasi mukosa lambung. Terdapat tiga komponen penyebab, yaitu pejamu berupa respons tubuh, agen seperti bakteri H. pylori, dan lingkungan seperti beberapa jenis obat. Diagnosis gastritis melalui pemeriksaan endoskopi dan histopatologi. Pemeriksaan histopatologi dapat memperlihatkan tipe gastritis, derajat infl amasi, dan premalignansi.","author":[{"dropping-particle":"","family":"Alianto","given":"Ricky","non-dropping-particle":"","parse-names":false,"suffix":""}],"container-title":"Alianto, R. (2015) ‘Diagnosis Histopatologik Gastritis’, 42(8), pp. 597–600.","id":"ITEM-1","issue":"8","issued":{"date-parts":[["2015"]]},"page":"597-600","title":"Diagnosis Histopatologik Gastritis","type":"article-journal","volume":"42"},"uris":["http://www.mendeley.com/documents/?uuid=071c03f3-2cb2-4803-95e0-155257df1568"]}],"mendeley":{"formattedCitation":"[3]","plainTextFormattedCitation":"[3]","previouslyFormattedCitation":"[3]"},"properties":{"noteIndex":0},"schema":"https://github.com/citation-style-language/schema/raw/master/csl-citation.json"}</w:instrText>
      </w:r>
      <w:r w:rsidR="00081D12">
        <w:rPr>
          <w:sz w:val="20"/>
          <w:szCs w:val="20"/>
        </w:rPr>
        <w:fldChar w:fldCharType="separate"/>
      </w:r>
      <w:r w:rsidR="00081D12" w:rsidRPr="00081D12">
        <w:rPr>
          <w:noProof/>
          <w:sz w:val="20"/>
          <w:szCs w:val="20"/>
        </w:rPr>
        <w:t>[3]</w:t>
      </w:r>
      <w:r w:rsidR="00081D12">
        <w:rPr>
          <w:sz w:val="20"/>
          <w:szCs w:val="20"/>
        </w:rPr>
        <w:fldChar w:fldCharType="end"/>
      </w:r>
      <w:r>
        <w:rPr>
          <w:sz w:val="20"/>
          <w:szCs w:val="20"/>
        </w:rPr>
        <w:t>.</w:t>
      </w:r>
      <w:r w:rsidR="00132C0C">
        <w:rPr>
          <w:sz w:val="20"/>
          <w:szCs w:val="20"/>
        </w:rPr>
        <w:t xml:space="preserve"> </w:t>
      </w:r>
      <w:r w:rsidR="0069405D" w:rsidRPr="00841633">
        <w:rPr>
          <w:sz w:val="20"/>
          <w:szCs w:val="20"/>
        </w:rPr>
        <w:t xml:space="preserve">In most areas, the prevalence of </w:t>
      </w:r>
      <w:r w:rsidR="0069405D" w:rsidRPr="00841633">
        <w:rPr>
          <w:i/>
          <w:sz w:val="20"/>
          <w:szCs w:val="20"/>
        </w:rPr>
        <w:t>Helicobacter Pylori</w:t>
      </w:r>
      <w:r w:rsidR="0069405D" w:rsidRPr="00841633">
        <w:rPr>
          <w:sz w:val="20"/>
          <w:szCs w:val="20"/>
        </w:rPr>
        <w:t xml:space="preserve"> increases with age, although recent time trend analyses of numerous large populations have shown a decline in the prevalence of </w:t>
      </w:r>
      <w:r w:rsidR="0069405D" w:rsidRPr="00841633">
        <w:rPr>
          <w:i/>
          <w:sz w:val="20"/>
          <w:szCs w:val="20"/>
        </w:rPr>
        <w:t>Helicobacter Pylori</w:t>
      </w:r>
      <w:r w:rsidR="0069405D" w:rsidRPr="00841633">
        <w:rPr>
          <w:sz w:val="20"/>
          <w:szCs w:val="20"/>
        </w:rPr>
        <w:t xml:space="preserve"> infection.</w:t>
      </w:r>
      <w:r w:rsidR="0069405D">
        <w:rPr>
          <w:sz w:val="20"/>
          <w:szCs w:val="20"/>
        </w:rPr>
        <w:t xml:space="preserve"> </w:t>
      </w:r>
      <w:r w:rsidR="0069405D">
        <w:rPr>
          <w:noProof/>
          <w:sz w:val="20"/>
          <w:szCs w:val="20"/>
        </w:rPr>
        <w:fldChar w:fldCharType="begin" w:fldLock="1"/>
      </w:r>
      <w:r w:rsidR="0069405D">
        <w:rPr>
          <w:noProof/>
          <w:sz w:val="20"/>
          <w:szCs w:val="20"/>
        </w:rPr>
        <w:instrText>ADDIN CSL_CITATION {"citationItems":[{"id":"ITEM-1","itemData":{"DOI":"10.1007/s10620-014-3063-0","ISSN":"15732568","PMID":"24563236","abstract":"The systematic assessment of large population-based surveys addressing the prevalence of Helicobacter pylori infection may provide robust evidence for understanding the trends in the exposure to this major risk factor across settings with distinct patterns of gastric cancer variation. Our aim was to describe the prevalence of H. pylori infection in different countries and periods, through systematic review of the literature. We searched PubMed from inception up to September 2013 to identify original studies reporting on the prevalence of H. pylori, and only those evaluating samples with national coverage were included. We identified 37 eligible studies including data for 22 countries. The prevalences were higher in Central/South America and Asia, and at least two-fold higher in countries with high gastric cancer incidence. In most countries presenting data for different time periods, the prevalences were usually lower in the most recent surveys. However, there was little variation in settings where prevalences were already low. Among countries with high prevalence of H. pylori infection there is an ample scope for reducing its burden in the next decades, whereas further declines in settings with already low prevalences will require more intensive efforts. © 2014 Springer Science+Business Media.","author":[{"dropping-particle":"","family":"Peleteiro","given":"Bárbara","non-dropping-particle":"","parse-names":false,"suffix":""},{"dropping-particle":"","family":"Bastos","given":"Ana","non-dropping-particle":"","parse-names":false,"suffix":""},{"dropping-particle":"","family":"Ferro","given":"Ana","non-dropping-particle":"","parse-names":false,"suffix":""},{"dropping-particle":"","family":"Lunet","given":"Nuno","non-dropping-particle":"","parse-names":false,"suffix":""}],"container-title":"Digestive Diseases and Sciences","id":"ITEM-1","issue":"8","issued":{"date-parts":[["2014"]]},"page":"1698-1709","title":"Prevalence of Helicobacter pylori infection worldwide: A systematic review of studies with national coverage","type":"article-journal","volume":"59"},"uris":["http://www.mendeley.com/documents/?uuid=847b4ddc-ef60-434b-a918-3efce3357e5c"]}],"mendeley":{"formattedCitation":"[4]","plainTextFormattedCitation":"[4]","previouslyFormattedCitation":"[4]"},"properties":{"noteIndex":0},"schema":"https://github.com/citation-style-language/schema/raw/master/csl-citation.json"}</w:instrText>
      </w:r>
      <w:r w:rsidR="0069405D">
        <w:rPr>
          <w:noProof/>
          <w:sz w:val="20"/>
          <w:szCs w:val="20"/>
        </w:rPr>
        <w:fldChar w:fldCharType="separate"/>
      </w:r>
      <w:r w:rsidR="0069405D" w:rsidRPr="00081D12">
        <w:rPr>
          <w:noProof/>
          <w:sz w:val="20"/>
          <w:szCs w:val="20"/>
        </w:rPr>
        <w:t>[4]</w:t>
      </w:r>
      <w:r w:rsidR="0069405D">
        <w:rPr>
          <w:noProof/>
          <w:sz w:val="20"/>
          <w:szCs w:val="20"/>
        </w:rPr>
        <w:fldChar w:fldCharType="end"/>
      </w:r>
      <w:r w:rsidR="0069405D">
        <w:rPr>
          <w:sz w:val="20"/>
          <w:szCs w:val="20"/>
        </w:rPr>
        <w:t xml:space="preserve">. Gastric cancer is the third leading cause worldwide and </w:t>
      </w:r>
      <w:r w:rsidR="0069405D" w:rsidRPr="005D7A62">
        <w:rPr>
          <w:i/>
          <w:sz w:val="20"/>
          <w:szCs w:val="20"/>
        </w:rPr>
        <w:t>Helicobacter pylori</w:t>
      </w:r>
      <w:r w:rsidR="0069405D">
        <w:rPr>
          <w:sz w:val="20"/>
          <w:szCs w:val="20"/>
        </w:rPr>
        <w:t xml:space="preserve"> infection is responsible for 74.7% of all cases of </w:t>
      </w:r>
      <w:r w:rsidR="00F162BF">
        <w:rPr>
          <w:sz w:val="20"/>
          <w:szCs w:val="20"/>
        </w:rPr>
        <w:t>no cardia</w:t>
      </w:r>
      <w:r w:rsidR="0069405D">
        <w:rPr>
          <w:sz w:val="20"/>
          <w:szCs w:val="20"/>
        </w:rPr>
        <w:t xml:space="preserve"> gastric cancer.</w:t>
      </w:r>
      <w:r w:rsidR="0069405D">
        <w:rPr>
          <w:sz w:val="20"/>
          <w:szCs w:val="20"/>
        </w:rPr>
        <w:fldChar w:fldCharType="begin" w:fldLock="1"/>
      </w:r>
      <w:r w:rsidR="0069405D">
        <w:rPr>
          <w:sz w:val="20"/>
          <w:szCs w:val="20"/>
        </w:rPr>
        <w:instrText>ADDIN CSL_CITATION {"citationItems":[{"id":"ITEM-1","itemData":{"DOI":"10.1111/apt.12814","ISSN":"13652036","PMID":"24912650","abstract":"Background Gastric cancer can be divided into cardia and noncardia gastric adenocarcinoma (NCGA). Non cardia gastric cancer is a disease that has declined in global incidence but has remained as an extremely lethal cancer. Aim To review recent advances in epidemiology and strategies in prevention of non cardia gastric cancer. Methods A rapid literature search strategy was developed for all English language literature published before March 2013. The search was conducted using the electronic databases PubMed and EMBASE. The search strategy included the keywords 'stomach neoplasms', 'gastric cancer', 'epidemiology', 'risk factor', 'early detection of cancer', 'mass screening', 'cancer burden', 'prevention' and 'cost-effectiveness'. The search strategy was adjusted according to different requirements for each database. The specific search was also performed in cancer-related websites for country-specific information. The search was limited to past 10 years. Results Gastric cancer is the fifth most common cancer but the third leading cause of cancer death. The case fatality rate is 75%. Screening by radiological or endoscopic methods has limited success in prevention of gastric cancer. Helicobacter pylori has been identified as a carcinogen, accounting for 60-70% of gastric cancer globally and eradication is a potential preventive measure. A meta-analysis in 2009 demonstrated that individuals treated with H. pylori eradication therapy can reduce gastric cancer risk. The extended Shandong Intervention trial that lasted 14.3 years showed that H. pylori eradication therapy significantly reduced gastric cancer incidence by 39%. Consensus groups from Asia, Europe and Japan have recommended H. pylori eradication as primary prevention in high-risk areas. Following eradication therapy, endoscopic surveillance of pre-malignant lesions using enhanced imaging appears to be another promising preventive strategy. Conclusions Gastric cancer remains a major diagnostic and therapeutic challenge. There is emerging evidence that H. pylori eradication in high gastric cancer regions can lead to a decline in the incidence of this highly lethal disease. © 2014 John Wiley &amp; Sons Ltd.","author":[{"dropping-particle":"","family":"Fock","given":"K. M.","non-dropping-particle":"","parse-names":false,"suffix":""}],"container-title":"Alimentary Pharmacology and Therapeutics","id":"ITEM-1","issue":"3","issued":{"date-parts":[["2014"]]},"page":"250-260","title":"Review article: The epidemiology and prevention of gastric cancer","type":"article-journal","volume":"40"},"uris":["http://www.mendeley.com/documents/?uuid=3e716c2c-a8ee-41dc-b41d-7988a0ca4df2"]}],"mendeley":{"formattedCitation":"[5]","plainTextFormattedCitation":"[5]","previouslyFormattedCitation":"[5]"},"properties":{"noteIndex":0},"schema":"https://github.com/citation-style-language/schema/raw/master/csl-citation.json"}</w:instrText>
      </w:r>
      <w:r w:rsidR="0069405D">
        <w:rPr>
          <w:sz w:val="20"/>
          <w:szCs w:val="20"/>
        </w:rPr>
        <w:fldChar w:fldCharType="separate"/>
      </w:r>
      <w:r w:rsidR="0069405D" w:rsidRPr="00081D12">
        <w:rPr>
          <w:noProof/>
          <w:sz w:val="20"/>
          <w:szCs w:val="20"/>
        </w:rPr>
        <w:t>[5]</w:t>
      </w:r>
      <w:r w:rsidR="0069405D">
        <w:rPr>
          <w:sz w:val="20"/>
          <w:szCs w:val="20"/>
        </w:rPr>
        <w:fldChar w:fldCharType="end"/>
      </w:r>
      <w:r w:rsidR="0069405D">
        <w:rPr>
          <w:sz w:val="20"/>
          <w:szCs w:val="20"/>
        </w:rPr>
        <w:t>.</w:t>
      </w:r>
    </w:p>
    <w:p w14:paraId="3EF49D16" w14:textId="77777777" w:rsidR="0069405D" w:rsidRDefault="0069405D" w:rsidP="0069405D">
      <w:pPr>
        <w:spacing w:line="240" w:lineRule="exact"/>
        <w:ind w:firstLine="270"/>
        <w:jc w:val="both"/>
        <w:rPr>
          <w:sz w:val="20"/>
          <w:szCs w:val="20"/>
        </w:rPr>
      </w:pPr>
      <w:r>
        <w:rPr>
          <w:sz w:val="20"/>
          <w:szCs w:val="20"/>
        </w:rPr>
        <w:lastRenderedPageBreak/>
        <w:t xml:space="preserve">According to the World Health Organization (World Health Organization), the incidence of gastritis in the world reaches 1.8-2.1 million of the total population each year, in the UK (22%), China (31%), Japan (14.5%), </w:t>
      </w:r>
      <w:proofErr w:type="gramStart"/>
      <w:r>
        <w:rPr>
          <w:sz w:val="20"/>
          <w:szCs w:val="20"/>
        </w:rPr>
        <w:t>Canada(</w:t>
      </w:r>
      <w:proofErr w:type="gramEnd"/>
      <w:r>
        <w:rPr>
          <w:sz w:val="20"/>
          <w:szCs w:val="20"/>
        </w:rPr>
        <w:t xml:space="preserve">35%), and France(29.5%). In Southeast Asia, close to 583, 635 of the total population annually. </w:t>
      </w:r>
      <w:r w:rsidRPr="00841633">
        <w:rPr>
          <w:sz w:val="20"/>
          <w:szCs w:val="20"/>
        </w:rPr>
        <w:t>Based on the World Health Organization, gastritis incidence in Indonesia is 40.8%. With a frequency of 274,396 cases, the incidence rate of gastritis is relatively high in various parts of Indonesia.</w:t>
      </w:r>
      <w:r>
        <w:rPr>
          <w:sz w:val="20"/>
          <w:szCs w:val="20"/>
        </w:rPr>
        <w:t xml:space="preserve"> </w:t>
      </w:r>
      <w:r>
        <w:rPr>
          <w:sz w:val="20"/>
          <w:szCs w:val="20"/>
        </w:rPr>
        <w:fldChar w:fldCharType="begin" w:fldLock="1"/>
      </w:r>
      <w:r>
        <w:rPr>
          <w:sz w:val="20"/>
          <w:szCs w:val="20"/>
        </w:rPr>
        <w:instrText>ADDIN CSL_CITATION {"citationItems":[{"id":"ITEM-1","itemData":{"DOI":"10.53947/miphmp.v1i1.166","abstract":"The human body has important digestive organs such as the stomach. One of the stomach diseases that is gastritis or ulcers has indeed begun to be experienced due to a lack of knowledge about the factors that cause gastritis and behavior to prevent the occurrence of gastritis. Gastritis known as ulcer disease is an inflammation or bleeding in the mucosa of the stomach caused by irritants, infections, and irregularities in the diet. The method used is a literature review article by reviewing 7 journals published from 2010-2020 about the effect of fasting on the health of the stomach digestive system conducted in April 2020. The results of changing dietary patterns during fasting cause various changes in the body, especially in the digestive tract. Fasting gives the digestive system time to rest, so it can reduce the risk or cure health problems indigestion. The conclusion is that there is a relationship between diet, knowledge, and stress to the incidence of gastritis. While in the behavior of coffee consumption and sex there is no association with the incidence of gastritis.","author":[{"dropping-particle":"","family":"Masyitoh","given":"Masyitoh Masyitoh","non-dropping-particle":"","parse-names":false,"suffix":""},{"dropping-particle":"","family":"Novita","given":"Amelia","non-dropping-particle":"","parse-names":false,"suffix":""},{"dropping-particle":"","family":"Farid","given":"Muhammad","non-dropping-particle":"","parse-names":false,"suffix":""},{"dropping-particle":"","family":"Asmuni","given":"Andriyani","non-dropping-particle":"","parse-names":false,"suffix":""},{"dropping-particle":"","family":"Suherman","given":"Suherman","non-dropping-particle":"","parse-names":false,"suffix":""},{"dropping-particle":"","family":"Fauziah","given":"Munaya","non-dropping-particle":"","parse-names":false,"suffix":""},{"dropping-particle":"","family":"Khairina","given":"Najwa","non-dropping-particle":"","parse-names":false,"suffix":""},{"dropping-particle":"","family":"Rahma Fadlilah","given":"Dina","non-dropping-particle":"","parse-names":false,"suffix":""}],"container-title":"Muhammadiyah International Public Health and Medicine Proceeding","id":"ITEM-1","issue":"1","issued":{"date-parts":[["2021"]]},"page":"995-1000","title":"The Effect of Fasting on Health of Stomach Digestion System","type":"article-journal","volume":"1"},"uris":["http://www.mendeley.com/documents/?uuid=3a5687eb-c555-4d82-b7d6-551ed5e39d42"]}],"mendeley":{"formattedCitation":"[6]","plainTextFormattedCitation":"[6]","previouslyFormattedCitation":"[6]"},"properties":{"noteIndex":0},"schema":"https://github.com/citation-style-language/schema/raw/master/csl-citation.json"}</w:instrText>
      </w:r>
      <w:r>
        <w:rPr>
          <w:sz w:val="20"/>
          <w:szCs w:val="20"/>
        </w:rPr>
        <w:fldChar w:fldCharType="separate"/>
      </w:r>
      <w:r w:rsidRPr="00081D12">
        <w:rPr>
          <w:noProof/>
          <w:sz w:val="20"/>
          <w:szCs w:val="20"/>
        </w:rPr>
        <w:t>[6]</w:t>
      </w:r>
      <w:r>
        <w:rPr>
          <w:sz w:val="20"/>
          <w:szCs w:val="20"/>
        </w:rPr>
        <w:fldChar w:fldCharType="end"/>
      </w:r>
      <w:r>
        <w:rPr>
          <w:sz w:val="20"/>
          <w:szCs w:val="20"/>
        </w:rPr>
        <w:t>.</w:t>
      </w:r>
    </w:p>
    <w:p w14:paraId="493B1D13" w14:textId="77777777" w:rsidR="0069405D" w:rsidRDefault="0069405D" w:rsidP="0069405D">
      <w:pPr>
        <w:spacing w:line="240" w:lineRule="exact"/>
        <w:ind w:firstLine="270"/>
        <w:jc w:val="both"/>
        <w:rPr>
          <w:sz w:val="20"/>
          <w:szCs w:val="20"/>
        </w:rPr>
      </w:pPr>
      <w:r w:rsidRPr="004F42A5">
        <w:rPr>
          <w:sz w:val="20"/>
          <w:szCs w:val="20"/>
        </w:rPr>
        <w:t>Following studies and observations made by the Ministry of Health of the Republic of Indonesia, the prevalence of gastritis is highest in Medan (91.6%), followed by Surabaya (31.2%), Denpasar (46%), Jakarta (50%) Bandung (32.5%), Palembang (35.3%), Aceh</w:t>
      </w:r>
      <w:r>
        <w:rPr>
          <w:sz w:val="20"/>
          <w:szCs w:val="20"/>
        </w:rPr>
        <w:t xml:space="preserve"> (31.7%), and Pontianak (31.2%). The incidence of gastritis is caused by an unhealthy diet</w:t>
      </w:r>
      <w:r>
        <w:rPr>
          <w:sz w:val="20"/>
          <w:szCs w:val="20"/>
        </w:rPr>
        <w:fldChar w:fldCharType="begin" w:fldLock="1"/>
      </w:r>
      <w:r>
        <w:rPr>
          <w:sz w:val="20"/>
          <w:szCs w:val="20"/>
        </w:rPr>
        <w:instrText>ADDIN CSL_CITATION {"citationItems":[{"id":"ITEM-1","itemData":{"author":[{"dropping-particle":"","family":"Silaban","given":"Luce Yulpina","non-dropping-particle":"","parse-names":false,"suffix":""}],"id":"ITEM-1","issued":{"date-parts":[["2019"]]},"title":"GAMBARAN KARAKTERISTIK PASIEN GASTRITIS DI RUMAH SAKIT SANTA ELISABETH MEDAN TAHUN 2018 DI RUMAH SAKIT SANTA ELISABETH MEDAN","type":"article-journal"},"uris":["http://www.mendeley.com/documents/?uuid=46bb1e57-030f-4269-b6b8-e7e3177b37b8"]}],"mendeley":{"formattedCitation":"[7]","plainTextFormattedCitation":"[7]","previouslyFormattedCitation":"[7]"},"properties":{"noteIndex":0},"schema":"https://github.com/citation-style-language/schema/raw/master/csl-citation.json"}</w:instrText>
      </w:r>
      <w:r>
        <w:rPr>
          <w:sz w:val="20"/>
          <w:szCs w:val="20"/>
        </w:rPr>
        <w:fldChar w:fldCharType="separate"/>
      </w:r>
      <w:r w:rsidRPr="00081D12">
        <w:rPr>
          <w:noProof/>
          <w:sz w:val="20"/>
          <w:szCs w:val="20"/>
        </w:rPr>
        <w:t>[7]</w:t>
      </w:r>
      <w:r>
        <w:rPr>
          <w:sz w:val="20"/>
          <w:szCs w:val="20"/>
        </w:rPr>
        <w:fldChar w:fldCharType="end"/>
      </w:r>
      <w:r>
        <w:rPr>
          <w:sz w:val="20"/>
          <w:szCs w:val="20"/>
        </w:rPr>
        <w:t xml:space="preserve">. </w:t>
      </w:r>
      <w:r w:rsidRPr="005D7A62">
        <w:rPr>
          <w:i/>
          <w:sz w:val="20"/>
          <w:szCs w:val="20"/>
        </w:rPr>
        <w:t>Helicobacter Pylori</w:t>
      </w:r>
      <w:r>
        <w:rPr>
          <w:sz w:val="20"/>
          <w:szCs w:val="20"/>
        </w:rPr>
        <w:t xml:space="preserve"> is classified as a gram-negative bacterium, bacillus, rod curve. </w:t>
      </w:r>
      <w:r w:rsidRPr="005D7A62">
        <w:rPr>
          <w:i/>
          <w:sz w:val="20"/>
          <w:szCs w:val="20"/>
        </w:rPr>
        <w:t>Helicobacter Pylori</w:t>
      </w:r>
      <w:r>
        <w:rPr>
          <w:sz w:val="20"/>
          <w:szCs w:val="20"/>
        </w:rPr>
        <w:t xml:space="preserve"> causes chronic gastric infection and gastritis in humans. </w:t>
      </w:r>
      <w:r w:rsidRPr="0097670A">
        <w:rPr>
          <w:sz w:val="20"/>
          <w:szCs w:val="20"/>
        </w:rPr>
        <w:t xml:space="preserve">Peptic ulcers and gastritis are recognized to be primarily brought on by </w:t>
      </w:r>
      <w:r w:rsidRPr="0097670A">
        <w:rPr>
          <w:i/>
          <w:sz w:val="20"/>
          <w:szCs w:val="20"/>
        </w:rPr>
        <w:t>Helicobacter pylori</w:t>
      </w:r>
      <w:r w:rsidRPr="0097670A">
        <w:rPr>
          <w:sz w:val="20"/>
          <w:szCs w:val="20"/>
        </w:rPr>
        <w:t xml:space="preserve"> inflammation. </w:t>
      </w:r>
      <w:r>
        <w:rPr>
          <w:sz w:val="20"/>
          <w:szCs w:val="20"/>
        </w:rPr>
        <w:fldChar w:fldCharType="begin" w:fldLock="1"/>
      </w:r>
      <w:r>
        <w:rPr>
          <w:sz w:val="20"/>
          <w:szCs w:val="20"/>
        </w:rPr>
        <w:instrText>ADDIN CSL_CITATION {"citationItems":[{"id":"ITEM-1","itemData":{"ISBN":"1113104000018","author":[{"dropping-particle":"","family":"Yatmi","given":"Fitriah","non-dropping-particle":"","parse-names":false,"suffix":""}],"id":"ITEM-1","issued":{"date-parts":[["2017"]]},"title":"Pola Makan Mahasiswa Dengan Gastritis yang Terlibat Dalam Kegiatan Organisasi Kemahasiswaan di Universitas Islam Negeri Jakarta","type":"article-journal","volume":"1"},"uris":["http://www.mendeley.com/documents/?uuid=e7954738-76bb-412b-8e4a-2f0730d001c1"]}],"mendeley":{"formattedCitation":"[8]","plainTextFormattedCitation":"[8]","previouslyFormattedCitation":"[8]"},"properties":{"noteIndex":0},"schema":"https://github.com/citation-style-language/schema/raw/master/csl-citation.json"}</w:instrText>
      </w:r>
      <w:r>
        <w:rPr>
          <w:sz w:val="20"/>
          <w:szCs w:val="20"/>
        </w:rPr>
        <w:fldChar w:fldCharType="separate"/>
      </w:r>
      <w:r w:rsidRPr="00081D12">
        <w:rPr>
          <w:noProof/>
          <w:sz w:val="20"/>
          <w:szCs w:val="20"/>
        </w:rPr>
        <w:t>[8]</w:t>
      </w:r>
      <w:r>
        <w:rPr>
          <w:sz w:val="20"/>
          <w:szCs w:val="20"/>
        </w:rPr>
        <w:fldChar w:fldCharType="end"/>
      </w:r>
      <w:r>
        <w:rPr>
          <w:sz w:val="20"/>
          <w:szCs w:val="20"/>
        </w:rPr>
        <w:t>.</w:t>
      </w:r>
    </w:p>
    <w:p w14:paraId="7BD731B3" w14:textId="77777777" w:rsidR="0069405D" w:rsidRPr="00DF171C" w:rsidRDefault="0069405D" w:rsidP="0069405D">
      <w:pPr>
        <w:ind w:firstLine="270"/>
        <w:jc w:val="both"/>
      </w:pPr>
      <w:r>
        <w:rPr>
          <w:i/>
          <w:sz w:val="20"/>
          <w:szCs w:val="20"/>
        </w:rPr>
        <w:t xml:space="preserve">Helicobacter pylori </w:t>
      </w:r>
      <w:r>
        <w:rPr>
          <w:sz w:val="20"/>
          <w:szCs w:val="20"/>
        </w:rPr>
        <w:t xml:space="preserve">only infects humans and transmission occurs via the fecal-oral route. Colonization of pathogens infecting the gastric mucosa </w:t>
      </w:r>
      <w:r>
        <w:rPr>
          <w:sz w:val="20"/>
          <w:szCs w:val="20"/>
        </w:rPr>
        <w:fldChar w:fldCharType="begin" w:fldLock="1"/>
      </w:r>
      <w:r>
        <w:rPr>
          <w:sz w:val="20"/>
          <w:szCs w:val="20"/>
        </w:rPr>
        <w:instrText>ADDIN CSL_CITATION {"citationItems":[{"id":"ITEM-1","itemData":{"DOI":"10.3748/wjg.v20.i19.5610","ISSN":"22192840","PMID":"24914320","abstract":"Helicobacter pylori (H. pylori) colonizes the stomach of humans and causes chronic infection. The majority of bacteria live in the mucus layer overlying the gastric epithelial cells and only a small proportion of bacteria are found interacting with the epithelial cells. The bacteria living in the gastric mucus may act as a reservoir of infection for the underlying cells which is essential for the development of disease. Colonization of gastric mucus is likely to be key to the establishment of chronic infection. How H. pylori manages to colonise and survive in the hostile environment of the human stomach and avoid removal by mucus flow and killing by gastric acid is the subject of this review. We also discuss how bacterial and host factors may together go some way to explaining the susceptibility to colonization and the outcome of infection in different individuals. H. pylori infection of the gastric mucosa has become a paradigm for chronic infection. Understanding of why H. pylori is such a successful pathogen may help us understand how other bacterial species colonise mucosal surfaces and cause disease. © 2014 Baishideng Publishing Group Inc. All rights reserved.","author":[{"dropping-particle":"","family":"Dunne","given":"Ciara","non-dropping-particle":"","parse-names":false,"suffix":""},{"dropping-particle":"","family":"Dolan","given":"Brendan","non-dropping-particle":"","parse-names":false,"suffix":""},{"dropping-particle":"","family":"Clyne","given":"Marguerite","non-dropping-particle":"","parse-names":false,"suffix":""}],"container-title":"World Journal of Gastroenterology","id":"ITEM-1","issue":"19","issued":{"date-parts":[["2014"]]},"page":"5610-5624","title":"Factors that mediate colonization of the human stomach by Helicobacter pylori","type":"article-journal","volume":"20"},"uris":["http://www.mendeley.com/documents/?uuid=fb79b4fd-bbbd-450b-b3c9-ecb45d19bd29"]}],"mendeley":{"formattedCitation":"[9]","plainTextFormattedCitation":"[9]","previouslyFormattedCitation":"[9]"},"properties":{"noteIndex":0},"schema":"https://github.com/citation-style-language/schema/raw/master/csl-citation.json"}</w:instrText>
      </w:r>
      <w:r>
        <w:rPr>
          <w:sz w:val="20"/>
          <w:szCs w:val="20"/>
        </w:rPr>
        <w:fldChar w:fldCharType="separate"/>
      </w:r>
      <w:r w:rsidRPr="00081D12">
        <w:rPr>
          <w:noProof/>
          <w:sz w:val="20"/>
          <w:szCs w:val="20"/>
        </w:rPr>
        <w:t>[9]</w:t>
      </w:r>
      <w:r>
        <w:rPr>
          <w:sz w:val="20"/>
          <w:szCs w:val="20"/>
        </w:rPr>
        <w:fldChar w:fldCharType="end"/>
      </w:r>
      <w:r>
        <w:rPr>
          <w:sz w:val="20"/>
          <w:szCs w:val="20"/>
        </w:rPr>
        <w:t xml:space="preserve">. A study shows the reduced viability of </w:t>
      </w:r>
      <w:r w:rsidRPr="005D7A62">
        <w:rPr>
          <w:i/>
          <w:sz w:val="20"/>
          <w:szCs w:val="20"/>
        </w:rPr>
        <w:t>Helicobacter Pylori</w:t>
      </w:r>
      <w:r>
        <w:rPr>
          <w:sz w:val="20"/>
          <w:szCs w:val="20"/>
        </w:rPr>
        <w:t xml:space="preserve"> bacteria when in an acidic pH especially at pH 3 as the lowest value, the factor that causes </w:t>
      </w:r>
      <w:r w:rsidRPr="005D7A62">
        <w:rPr>
          <w:i/>
          <w:sz w:val="20"/>
          <w:szCs w:val="20"/>
        </w:rPr>
        <w:t>Helicobacter Pylori</w:t>
      </w:r>
      <w:r>
        <w:rPr>
          <w:sz w:val="20"/>
          <w:szCs w:val="20"/>
        </w:rPr>
        <w:t xml:space="preserve"> to survive up to pH 3 is the absence of urea, in the stomach </w:t>
      </w:r>
      <w:r w:rsidRPr="005D7A62">
        <w:rPr>
          <w:i/>
          <w:sz w:val="20"/>
          <w:szCs w:val="20"/>
        </w:rPr>
        <w:t>Helicobacter Pylori</w:t>
      </w:r>
      <w:r>
        <w:rPr>
          <w:sz w:val="20"/>
          <w:szCs w:val="20"/>
        </w:rPr>
        <w:t xml:space="preserve"> neutralizes pH by secreting urease, this fact is related with the ecology of </w:t>
      </w:r>
      <w:r w:rsidRPr="005D7A62">
        <w:rPr>
          <w:i/>
          <w:sz w:val="20"/>
          <w:szCs w:val="20"/>
        </w:rPr>
        <w:t>Helicobacter Pylori</w:t>
      </w:r>
      <w:r>
        <w:rPr>
          <w:sz w:val="20"/>
          <w:szCs w:val="20"/>
        </w:rPr>
        <w:t xml:space="preserve"> in the human stomach with a pH of 2.0 – 3.0. </w:t>
      </w:r>
      <w:r w:rsidRPr="005D7A62">
        <w:rPr>
          <w:i/>
          <w:sz w:val="20"/>
          <w:szCs w:val="20"/>
        </w:rPr>
        <w:t>Helicobacter Pylori</w:t>
      </w:r>
      <w:r>
        <w:rPr>
          <w:sz w:val="20"/>
          <w:szCs w:val="20"/>
        </w:rPr>
        <w:t xml:space="preserve"> in several other genes can live and adapt in water (pH 6.5-7.4), milk (pH 6.6-6.8), and in the mouth (pH 5.5-7.4)</w:t>
      </w:r>
      <w:r>
        <w:rPr>
          <w:sz w:val="20"/>
          <w:szCs w:val="20"/>
        </w:rPr>
        <w:fldChar w:fldCharType="begin" w:fldLock="1"/>
      </w:r>
      <w:r>
        <w:rPr>
          <w:sz w:val="20"/>
          <w:szCs w:val="20"/>
        </w:rPr>
        <w:instrText>ADDIN CSL_CITATION {"citationItems":[{"id":"ITEM-1","itemData":{"DOI":"10.3390/pathogens9060489","ISSN":"20760817","abstract":"Yeasts can adapt to a wide range of pH fluctuations (2 to 10), while Helicobacter pylori, a facultative intracellular bacterium, can adapt to a range from pH 6 to 8. This work analyzed if H. pylori J99 can protect itself from acidic pH by entering into Candida albicans ATCC 90028. Growth curves were determined for H. pylori and C. albicans at pH 3, 4, and 7. Both microorganisms were co-incubated at the same pH values, and the presence of intra-yeast bacteria was evaluated. Intra-yeast bacteria-like bodies were detected using wet mounting, and intra-yeast binding of anti-H. pylori antibodies was detected using immunofluorescence. The presence of the H. pylori rDNA 16S gene in total DNA from yeasts was demonstrated after PCR amplification. H. pylori showed larger death percentages at pH 3 and 4 than at pH 7. On the contrary, the viability of the yeast was not affected by any of the pHs evaluated. H. pylori entered into C. albicans at all the pH values assayed but to a greater extent at unfavorable pH values (pH 3 or 4, p = 0.014 and p = 0.001, respectively). In conclusion, it is possible to suggest that H. pylori can shelter itself within C. albicans under unfavorable pH conditions.","author":[{"dropping-particle":"","family":"Sánchez-Alonzo","given":"Kimberly","non-dropping-particle":"","parse-names":false,"suffix":""},{"dropping-particle":"","family":"Parra-Sepúlveda","given":"Cristian","non-dropping-particle":"","parse-names":false,"suffix":""},{"dropping-particle":"","family":"Vega","given":"Samuel","non-dropping-particle":"","parse-names":false,"suffix":""},{"dropping-particle":"","family":"Bernasconi","given":"Humberto","non-dropping-particle":"","parse-names":false,"suffix":""},{"dropping-particle":"","family":"Campos","given":"Víctor L.","non-dropping-particle":"","parse-names":false,"suffix":""},{"dropping-particle":"","family":"Smith","given":"Carlos T.","non-dropping-particle":"","parse-names":false,"suffix":""},{"dropping-particle":"","family":"Sáez","given":"Katia","non-dropping-particle":"","parse-names":false,"suffix":""},{"dropping-particle":"","family":"García-Cancino","given":"Apolinaria","non-dropping-particle":"","parse-names":false,"suffix":""}],"container-title":"Pathogens","id":"ITEM-1","issue":"6","issued":{"date-parts":[["2020"]]},"page":"1-10","title":"In vitro incorporation of Helicobacter pylori into Candida albicans caused by acidic pH stress","type":"article-journal","volume":"9"},"uris":["http://www.mendeley.com/documents/?uuid=93bd832e-3ae2-48d1-9e5c-b45422ef8a70"]}],"mendeley":{"formattedCitation":"[10]","plainTextFormattedCitation":"[10]","previouslyFormattedCitation":"[10]"},"properties":{"noteIndex":0},"schema":"https://github.com/citation-style-language/schema/raw/master/csl-citation.json"}</w:instrText>
      </w:r>
      <w:r>
        <w:rPr>
          <w:sz w:val="20"/>
          <w:szCs w:val="20"/>
        </w:rPr>
        <w:fldChar w:fldCharType="separate"/>
      </w:r>
      <w:r w:rsidRPr="000137F7">
        <w:rPr>
          <w:noProof/>
          <w:sz w:val="20"/>
          <w:szCs w:val="20"/>
        </w:rPr>
        <w:t>[10]</w:t>
      </w:r>
      <w:r>
        <w:rPr>
          <w:sz w:val="20"/>
          <w:szCs w:val="20"/>
        </w:rPr>
        <w:fldChar w:fldCharType="end"/>
      </w:r>
      <w:r w:rsidRPr="002F07EC">
        <w:rPr>
          <w:sz w:val="20"/>
          <w:szCs w:val="20"/>
        </w:rPr>
        <w:t>.</w:t>
      </w:r>
    </w:p>
    <w:p w14:paraId="293BA91B" w14:textId="77777777" w:rsidR="0069405D" w:rsidRDefault="0069405D" w:rsidP="0069405D">
      <w:pPr>
        <w:spacing w:line="240" w:lineRule="exact"/>
        <w:ind w:firstLine="270"/>
        <w:jc w:val="both"/>
        <w:rPr>
          <w:sz w:val="20"/>
          <w:szCs w:val="20"/>
        </w:rPr>
      </w:pPr>
      <w:r>
        <w:rPr>
          <w:sz w:val="20"/>
          <w:szCs w:val="20"/>
        </w:rPr>
        <w:t xml:space="preserve">Pathogenicity factors include motility to search for target cells, adhesion to gastric surface epithelial cells, urease will release ammonia from urea to facilitate the survival of cells in a highly acidic environment and Cytotoxin Vacuolizing (VACA) which destroys epithelial cells. Once the pathogen has infected the stomach tissue, acute gastritis occurs, the course of which may or may not involve obvious symptoms. The gastric mucosa is very well protected from bacterial infections. However, </w:t>
      </w:r>
      <w:r w:rsidRPr="005D7A62">
        <w:rPr>
          <w:i/>
          <w:sz w:val="20"/>
          <w:szCs w:val="20"/>
        </w:rPr>
        <w:t>Helicobacter Pylori</w:t>
      </w:r>
      <w:r>
        <w:rPr>
          <w:sz w:val="20"/>
          <w:szCs w:val="20"/>
        </w:rPr>
        <w:t xml:space="preserve"> has excellent adaptability to the ecological environment of the stomach with a unique series of steps into the mucus, moves and is spatially oriented within the mucus, attaches to gastric epithelial cells, evades the immune response, and as a result colonization and persistent transmission occur </w:t>
      </w:r>
      <w:r>
        <w:rPr>
          <w:sz w:val="20"/>
          <w:szCs w:val="20"/>
        </w:rPr>
        <w:fldChar w:fldCharType="begin" w:fldLock="1"/>
      </w:r>
      <w:r>
        <w:rPr>
          <w:sz w:val="20"/>
          <w:szCs w:val="20"/>
        </w:rPr>
        <w:instrText>ADDIN CSL_CITATION {"citationItems":[{"id":"ITEM-1","itemData":{"abstract":"… Gastritis atropik Gastritis kronis Kanker gastritis Penyakit radang dinding lambung Gambar 4.3. Skema representatif hubungan antara aktivitas urease dan transpor urea, metabolisme nitrogen, metabolisme logam, dan regulasi gen pada H. pylori (Kusters dkk, 2006). Page 24 …","author":[{"dropping-particle":"","family":"Rampengan","given":"Starry H.","non-dropping-particle":"","parse-names":false,"suffix":""}],"container-title":"Faktor Penyebab Stres Pada Tenaga Kesehatan Dan Masyarakat Pada Saat Pandemicovid-19","id":"ITEM-1","issued":{"date-parts":[["2016"]]},"page":"1-42","title":"Hubungan Helicobacter Pylori Dengan Fraksi Ejeksi Ventrikel Kiri Pada Pasien Infark Miokard Akut","type":"article-journal"},"uris":["http://www.mendeley.com/documents/?uuid=40357075-7e60-40a9-868f-8615bc112627"]}],"mendeley":{"formattedCitation":"[11]","plainTextFormattedCitation":"[11]","previouslyFormattedCitation":"[11]"},"properties":{"noteIndex":0},"schema":"https://github.com/citation-style-language/schema/raw/master/csl-citation.json"}</w:instrText>
      </w:r>
      <w:r>
        <w:rPr>
          <w:sz w:val="20"/>
          <w:szCs w:val="20"/>
        </w:rPr>
        <w:fldChar w:fldCharType="separate"/>
      </w:r>
      <w:r w:rsidRPr="000137F7">
        <w:rPr>
          <w:noProof/>
          <w:sz w:val="20"/>
          <w:szCs w:val="20"/>
        </w:rPr>
        <w:t>[11]</w:t>
      </w:r>
      <w:r>
        <w:rPr>
          <w:sz w:val="20"/>
          <w:szCs w:val="20"/>
        </w:rPr>
        <w:fldChar w:fldCharType="end"/>
      </w:r>
      <w:r>
        <w:rPr>
          <w:sz w:val="20"/>
          <w:szCs w:val="20"/>
        </w:rPr>
        <w:t xml:space="preserve">. </w:t>
      </w:r>
      <w:r w:rsidRPr="004F42A5">
        <w:rPr>
          <w:sz w:val="20"/>
          <w:szCs w:val="20"/>
        </w:rPr>
        <w:t xml:space="preserve">The initial way to identify </w:t>
      </w:r>
      <w:r w:rsidRPr="004F42A5">
        <w:rPr>
          <w:i/>
          <w:sz w:val="20"/>
          <w:szCs w:val="20"/>
        </w:rPr>
        <w:t xml:space="preserve">Helicobacter Pylori </w:t>
      </w:r>
      <w:r w:rsidRPr="004F42A5">
        <w:rPr>
          <w:sz w:val="20"/>
          <w:szCs w:val="20"/>
        </w:rPr>
        <w:t xml:space="preserve">was histological examination, which is regarded as the gold standard in the direct identification of </w:t>
      </w:r>
      <w:r w:rsidRPr="004F42A5">
        <w:rPr>
          <w:i/>
          <w:sz w:val="20"/>
          <w:szCs w:val="20"/>
        </w:rPr>
        <w:t>Helicobacter Pylori</w:t>
      </w:r>
      <w:r w:rsidRPr="004F42A5">
        <w:rPr>
          <w:sz w:val="20"/>
          <w:szCs w:val="20"/>
        </w:rPr>
        <w:t xml:space="preserve"> infection. </w:t>
      </w:r>
      <w:r>
        <w:rPr>
          <w:sz w:val="20"/>
          <w:szCs w:val="20"/>
        </w:rPr>
        <w:fldChar w:fldCharType="begin" w:fldLock="1"/>
      </w:r>
      <w:r>
        <w:rPr>
          <w:sz w:val="20"/>
          <w:szCs w:val="20"/>
        </w:rPr>
        <w:instrText>ADDIN CSL_CITATION {"citationItems":[{"id":"ITEM-1","itemData":{"DOI":"10.3748/wjg.v21.i40.11221","ISSN":"22192840","PMID":"26523098","abstract":"Accurate diagnosis of Helicobacter pylori (H. pylori ) infection is a crucial part in the effective management of many gastroduodenal diseases. Several invasive and non-invasive diagnostic tests are available for the detection of H. pylori and each test has its usefulness and limitations in different clinical situations. Although none can be considered as a single gold standard in clinical practice, several techniques have been developed to give the more reliable results. Invasive tests are performed via endoscopic biopsy specimens and these tests include histology, culture, rapid urease test as well as molecular methods. Developments of endoscopic equipment also contribute to the real-time diagnosis of H. pylori during endoscopy. Urea breathing test and stool antigen test are most widely used noninvasive tests, whereas serology is useful in screening and epidemiological studies. Molecular methods have been used in variable specimens other than gastric mucosa. More than detection of H. pylori infection, several tests are introduced into the evaluation of virulence factors and antibiotic sensitivity of H. pylori , as well as screening precancerous lesions and gastric cancer. The aim of this article is to review the current options and novel developments of diagnostic tests and their applications in different clinical conditions or for specific purposes.","author":[{"dropping-particle":"","family":"Wang","given":"Yao Kuang","non-dropping-particle":"","parse-names":false,"suffix":""},{"dropping-particle":"","family":"Kuo","given":"Fu Chen","non-dropping-particle":"","parse-names":false,"suffix":""},{"dropping-particle":"","family":"Liu","given":"Chung Jung","non-dropping-particle":"","parse-names":false,"suffix":""},{"dropping-particle":"","family":"Wu","given":"Meng Chieh","non-dropping-particle":"","parse-names":false,"suffix":""},{"dropping-particle":"","family":"Shih","given":"Hsiang Yao","non-dropping-particle":"","parse-names":false,"suffix":""},{"dropping-particle":"","family":"Wang","given":"Sophie S.W.","non-dropping-particle":"","parse-names":false,"suffix":""},{"dropping-particle":"","family":"Wu","given":"Jeng Yih","non-dropping-particle":"","parse-names":false,"suffix":""},{"dropping-particle":"","family":"Kuo","given":"Chao Hung","non-dropping-particle":"","parse-names":false,"suffix":""},{"dropping-particle":"","family":"Huang","given":"Yao Kang","non-dropping-particle":"","parse-names":false,"suffix":""},{"dropping-particle":"","family":"Wu","given":"Deng Chyang","non-dropping-particle":"","parse-names":false,"suffix":""}],"container-title":"World Journal of Gastroenterology","id":"ITEM-1","issue":"40","issued":{"date-parts":[["2015"]]},"page":"11221-11235","title":"Diagnosis of helicobacter pylori infection: Current options and developments","type":"article-journal","volume":"21"},"uris":["http://www.mendeley.com/documents/?uuid=2b9b9286-8d08-4a10-b0b8-797fc9b509e8"]}],"mendeley":{"formattedCitation":"[12]","plainTextFormattedCitation":"[12]","previouslyFormattedCitation":"[12]"},"properties":{"noteIndex":0},"schema":"https://github.com/citation-style-language/schema/raw/master/csl-citation.json"}</w:instrText>
      </w:r>
      <w:r>
        <w:rPr>
          <w:sz w:val="20"/>
          <w:szCs w:val="20"/>
        </w:rPr>
        <w:fldChar w:fldCharType="separate"/>
      </w:r>
      <w:r w:rsidRPr="000137F7">
        <w:rPr>
          <w:noProof/>
          <w:sz w:val="20"/>
          <w:szCs w:val="20"/>
        </w:rPr>
        <w:t>[12]</w:t>
      </w:r>
      <w:r>
        <w:rPr>
          <w:sz w:val="20"/>
          <w:szCs w:val="20"/>
        </w:rPr>
        <w:fldChar w:fldCharType="end"/>
      </w:r>
      <w:r>
        <w:rPr>
          <w:sz w:val="20"/>
          <w:szCs w:val="20"/>
        </w:rPr>
        <w:t xml:space="preserve">. The gold standard detection of </w:t>
      </w:r>
      <w:r w:rsidRPr="005D7A62">
        <w:rPr>
          <w:i/>
          <w:sz w:val="20"/>
          <w:szCs w:val="20"/>
        </w:rPr>
        <w:t>Helicobacter Pylori</w:t>
      </w:r>
      <w:r>
        <w:rPr>
          <w:sz w:val="20"/>
          <w:szCs w:val="20"/>
        </w:rPr>
        <w:t xml:space="preserve"> bacteria in Indonesia generally uses tissue histopathology </w:t>
      </w:r>
      <w:r>
        <w:rPr>
          <w:sz w:val="20"/>
          <w:szCs w:val="20"/>
        </w:rPr>
        <w:fldChar w:fldCharType="begin" w:fldLock="1"/>
      </w:r>
      <w:r>
        <w:rPr>
          <w:sz w:val="20"/>
          <w:szCs w:val="20"/>
        </w:rPr>
        <w:instrText>ADDIN CSL_CITATION {"citationItems":[{"id":"ITEM-1","itemData":{"DOI":"10.2147/CEG.S306626","ISSN":"11787023","abstract":"Purpose: Histopathology method is often used as a gold standard diagnostic for Helicobacter pylori infection in Indonesia. However, it requires an endoscopic procedure which is limited in Indonesia. A non-invasive method, such as14C Urea Breath Test (UBT), is more favorable; however, this particular method has not been validated yet. Patients and Methods: A total of 55 dyspeptic patients underwent gastroscopy and14C-UBT test. We used Heliprobe® UBT for UBT test. As for the histology, May-Giemsa staining of two gastric biopsies (from the antrum and corpus) were evaluated following the Updated Sydney System. Results: The Receiver Operating Characteristics analysis showed that the optimum cut-off value was 57 with excellence Area under Curve = 0.955 (95% CI = 0.861–1.000). By applying the optimum cut-off value, Heliprobe® UBT showed 92.31% for sensitivity, 97.62% for specificity, 92.31% for positive predictive value, 97.62% for negative predictive value, 38.77 for positive likelihood ratio, 0.0788 for negative likelihood ratio, and 96.36% for the accuracy. Conclusion: The14C-UBT is an accurate test for H. pylori diagnosis with excellent sensitivity, specificity, and accuracy. The different optimum cut-off points suggested that a validation is absolutely necessary for new test prior application to the new population.","author":[{"dropping-particle":"","family":"Miftahussurur","given":"Muhammad","non-dropping-particle":"","parse-names":false,"suffix":""},{"dropping-particle":"","family":"Windia","given":"Adinta","non-dropping-particle":"","parse-names":false,"suffix":""},{"dropping-particle":"","family":"Syam","given":"Ari Fahrial","non-dropping-particle":"","parse-names":false,"suffix":""},{"dropping-particle":"","family":"Nusi","given":"Iswan Abbas","non-dropping-particle":"","parse-names":false,"suffix":""},{"dropping-particle":"","family":"Alfaray","given":"Ricky Indra","non-dropping-particle":"","parse-names":false,"suffix":""},{"dropping-particle":"","family":"Fauzia","given":"Kartika Afrida","non-dropping-particle":"","parse-names":false,"suffix":""},{"dropping-particle":"","family":"Kahar","given":"Hartono","non-dropping-particle":"","parse-names":false,"suffix":""},{"dropping-particle":"","family":"Purbayu","given":"Herry","non-dropping-particle":"","parse-names":false,"suffix":""},{"dropping-particle":"","family":"Sugihartono","given":"Titong","non-dropping-particle":"","parse-names":false,"suffix":""},{"dropping-particle":"","family":"Setiawan","given":"Poernomo Boedi","non-dropping-particle":"","parse-names":false,"suffix":""},{"dropping-particle":"","family":"Maimunah","given":"Ummi","non-dropping-particle":"","parse-names":false,"suffix":""},{"dropping-particle":"","family":"Kholili","given":"Ulfa","non-dropping-particle":"","parse-names":false,"suffix":""},{"dropping-particle":"","family":"Thamrin","given":"Husin","non-dropping-particle":"","parse-names":false,"suffix":""},{"dropping-particle":"","family":"Vidyani","given":"Amie","non-dropping-particle":"","parse-names":false,"suffix":""},{"dropping-particle":"","family":"Doohan","given":"Dalla","non-dropping-particle":"","parse-names":false,"suffix":""},{"dropping-particle":"","family":"Waskito","given":"Langgeng Agung","non-dropping-particle":"","parse-names":false,"suffix":""},{"dropping-particle":"","family":"Rezkitha","given":"Yudith Annisa Ayu","non-dropping-particle":"","parse-names":false,"suffix":""},{"dropping-particle":"","family":"Siregar","given":"Gontar Alamsyah","non-dropping-particle":"","parse-names":false,"suffix":""},{"dropping-particle":"","family":"Yamaoka","given":"Yoshio","non-dropping-particle":"","parse-names":false,"suffix":""}],"container-title":"Clinical and Experimental Gastroenterology","id":"ITEM-1","issued":{"date-parts":[["2021"]]},"page":"291-296","title":"Diagnostic value of 14C urea breath test for Helicobacter pylori detection compared by histopathology in indonesian dyspeptic patients","type":"article-journal","volume":"14"},"uris":["http://www.mendeley.com/documents/?uuid=bc70b8fa-c13f-45a6-8c6a-18fd27f43c94"]}],"mendeley":{"formattedCitation":"[13]","plainTextFormattedCitation":"[13]","previouslyFormattedCitation":"[13]"},"properties":{"noteIndex":0},"schema":"https://github.com/citation-style-language/schema/raw/master/csl-citation.json"}</w:instrText>
      </w:r>
      <w:r>
        <w:rPr>
          <w:sz w:val="20"/>
          <w:szCs w:val="20"/>
        </w:rPr>
        <w:fldChar w:fldCharType="separate"/>
      </w:r>
      <w:r w:rsidRPr="000137F7">
        <w:rPr>
          <w:noProof/>
          <w:sz w:val="20"/>
          <w:szCs w:val="20"/>
        </w:rPr>
        <w:t>[13]</w:t>
      </w:r>
      <w:r>
        <w:rPr>
          <w:sz w:val="20"/>
          <w:szCs w:val="20"/>
        </w:rPr>
        <w:fldChar w:fldCharType="end"/>
      </w:r>
      <w:r>
        <w:rPr>
          <w:sz w:val="20"/>
          <w:szCs w:val="20"/>
        </w:rPr>
        <w:t xml:space="preserve">. Several clinical studies have shown that inflammatory markers related to leukocyte count are the most widely used and simple. Neutrophils and lymphocytes are the main </w:t>
      </w:r>
      <w:r>
        <w:rPr>
          <w:sz w:val="20"/>
          <w:szCs w:val="20"/>
        </w:rPr>
        <w:t xml:space="preserve">components of leukocytes </w:t>
      </w:r>
      <w:r>
        <w:rPr>
          <w:sz w:val="20"/>
          <w:szCs w:val="20"/>
        </w:rPr>
        <w:fldChar w:fldCharType="begin" w:fldLock="1"/>
      </w:r>
      <w:r>
        <w:rPr>
          <w:sz w:val="20"/>
          <w:szCs w:val="20"/>
        </w:rPr>
        <w:instrText>ADDIN CSL_CITATION {"citationItems":[{"id":"ITEM-1","itemData":{"DOI":"10.35816/jiskh.v10i2.153","author":[{"dropping-particle":"","family":"Giza","given":"Thaharatin","non-dropping-particle":"","parse-names":false,"suffix":""}],"id":"ITEM-1","issue":"2","issued":{"date-parts":[["2019"]]},"page":"217-221","title":"Rasio Neutrofil Limfosit Sebagai Prediktor Tingkat Keparahan Stroke Iskemik Hasil Dan Pembahasan","type":"article-journal","volume":"10"},"uris":["http://www.mendeley.com/documents/?uuid=9a344012-f15a-4c65-b132-bf8511c716fb"]}],"mendeley":{"formattedCitation":"[14]","plainTextFormattedCitation":"[14]","previouslyFormattedCitation":"[14]"},"properties":{"noteIndex":0},"schema":"https://github.com/citation-style-language/schema/raw/master/csl-citation.json"}</w:instrText>
      </w:r>
      <w:r>
        <w:rPr>
          <w:sz w:val="20"/>
          <w:szCs w:val="20"/>
        </w:rPr>
        <w:fldChar w:fldCharType="separate"/>
      </w:r>
      <w:r w:rsidRPr="000137F7">
        <w:rPr>
          <w:noProof/>
          <w:sz w:val="20"/>
          <w:szCs w:val="20"/>
        </w:rPr>
        <w:t>[14]</w:t>
      </w:r>
      <w:r>
        <w:rPr>
          <w:sz w:val="20"/>
          <w:szCs w:val="20"/>
        </w:rPr>
        <w:fldChar w:fldCharType="end"/>
      </w:r>
      <w:r w:rsidR="00C4585E">
        <w:rPr>
          <w:sz w:val="20"/>
          <w:szCs w:val="20"/>
        </w:rPr>
        <w:t xml:space="preserve">. </w:t>
      </w:r>
      <w:r>
        <w:rPr>
          <w:sz w:val="20"/>
          <w:szCs w:val="20"/>
        </w:rPr>
        <w:t xml:space="preserve">Neutrophils play a role in active inflammation in acute gastritis; Lymphocytes and plasma cells accompany the inflammatory process in chronic gastritis </w:t>
      </w:r>
      <w:r>
        <w:rPr>
          <w:sz w:val="20"/>
          <w:szCs w:val="20"/>
        </w:rPr>
        <w:fldChar w:fldCharType="begin" w:fldLock="1"/>
      </w:r>
      <w:r>
        <w:rPr>
          <w:sz w:val="20"/>
          <w:szCs w:val="20"/>
        </w:rPr>
        <w:instrText>ADDIN CSL_CITATION {"citationItems":[{"id":"ITEM-1","itemData":{"author":[{"dropping-particle":"","family":"Atayan","given":"Yahya","non-dropping-particle":"","parse-names":false,"suffix":""},{"dropping-particle":"","family":"Hacisalihoglu","given":"Payam","non-dropping-particle":"","parse-names":false,"suffix":""}],"id":"ITEM-1","issue":"January 2017","issued":{"date-parts":[["2019"]]},"title":"serum neutrophil / lymphocyte ratio in patients with active chronic gastritis The correlation between tissue Helicobacter pylori severity and the increase in serum neutrophil / lymphocyte ratio in patients with active chronic gastritis .","type":"article-journal"},"uris":["http://www.mendeley.com/documents/?uuid=a1ce90df-8b6c-4c01-8d93-4782c0faa6f5"]}],"mendeley":{"formattedCitation":"[15]","plainTextFormattedCitation":"[15]","previouslyFormattedCitation":"[15]"},"properties":{"noteIndex":0},"schema":"https://github.com/citation-style-language/schema/raw/master/csl-citation.json"}</w:instrText>
      </w:r>
      <w:r>
        <w:rPr>
          <w:sz w:val="20"/>
          <w:szCs w:val="20"/>
        </w:rPr>
        <w:fldChar w:fldCharType="separate"/>
      </w:r>
      <w:r w:rsidRPr="000137F7">
        <w:rPr>
          <w:noProof/>
          <w:sz w:val="20"/>
          <w:szCs w:val="20"/>
        </w:rPr>
        <w:t>[15]</w:t>
      </w:r>
      <w:r>
        <w:rPr>
          <w:sz w:val="20"/>
          <w:szCs w:val="20"/>
        </w:rPr>
        <w:fldChar w:fldCharType="end"/>
      </w:r>
      <w:r>
        <w:rPr>
          <w:sz w:val="20"/>
          <w:szCs w:val="20"/>
        </w:rPr>
        <w:t>.</w:t>
      </w:r>
    </w:p>
    <w:p w14:paraId="148F9D57" w14:textId="70D34949" w:rsidR="00C4585E" w:rsidRDefault="0069405D" w:rsidP="0069405D">
      <w:pPr>
        <w:spacing w:line="240" w:lineRule="exact"/>
        <w:ind w:firstLine="270"/>
        <w:jc w:val="both"/>
        <w:rPr>
          <w:sz w:val="20"/>
          <w:szCs w:val="20"/>
        </w:rPr>
      </w:pPr>
      <w:r>
        <w:rPr>
          <w:sz w:val="20"/>
          <w:szCs w:val="20"/>
        </w:rPr>
        <w:t xml:space="preserve">As </w:t>
      </w:r>
      <w:r w:rsidRPr="00467C19">
        <w:rPr>
          <w:sz w:val="20"/>
          <w:szCs w:val="20"/>
        </w:rPr>
        <w:t>compared to non-</w:t>
      </w:r>
      <w:r w:rsidRPr="0097670A">
        <w:rPr>
          <w:i/>
          <w:sz w:val="20"/>
          <w:szCs w:val="20"/>
        </w:rPr>
        <w:t>Helicobacter Pylori</w:t>
      </w:r>
      <w:r w:rsidRPr="00467C19">
        <w:rPr>
          <w:sz w:val="20"/>
          <w:szCs w:val="20"/>
        </w:rPr>
        <w:t xml:space="preserve"> gastritis, </w:t>
      </w:r>
      <w:r w:rsidRPr="0097670A">
        <w:rPr>
          <w:i/>
          <w:sz w:val="20"/>
          <w:szCs w:val="20"/>
        </w:rPr>
        <w:t>Helicobacter Pylori</w:t>
      </w:r>
      <w:r w:rsidRPr="00467C19">
        <w:rPr>
          <w:sz w:val="20"/>
          <w:szCs w:val="20"/>
        </w:rPr>
        <w:t xml:space="preserve"> infection will result in mononuclear (MN) and polymorphonuclear (PMN) cell infiltration and stimulate the production of proinflammatory cytokines in the stomach mucosa</w:t>
      </w:r>
      <w:r w:rsidRPr="00467C19">
        <w:rPr>
          <w:i/>
          <w:sz w:val="20"/>
          <w:szCs w:val="20"/>
        </w:rPr>
        <w:t xml:space="preserve">. </w:t>
      </w:r>
      <w:r>
        <w:rPr>
          <w:sz w:val="20"/>
          <w:szCs w:val="20"/>
        </w:rPr>
        <w:fldChar w:fldCharType="begin" w:fldLock="1"/>
      </w:r>
      <w:r>
        <w:rPr>
          <w:sz w:val="20"/>
          <w:szCs w:val="20"/>
        </w:rPr>
        <w:instrText>ADDIN CSL_CITATION {"citationItems":[{"id":"ITEM-1","itemData":{"DOI":"10.1111/hel.12367","author":[{"dropping-particle":"","family":"Shamsdin","given":"Seyedeh Azra","non-dropping-particle":"","parse-names":false,"suffix":""},{"dropping-particle":"","family":"Alborzi","given":"Abdolvahab","non-dropping-particle":"","parse-names":false,"suffix":""},{"dropping-particle":"","family":"Rasouli","given":"Manoochehr","non-dropping-particle":"","parse-names":false,"suffix":""},{"dropping-particle":"","family":"Ghaderi","given":"Abbas","non-dropping-particle":"","parse-names":false,"suffix":""},{"dropping-particle":"","family":"Lankrani","given":"Kamran B","non-dropping-particle":"","parse-names":false,"suffix":""},{"dropping-particle":"","family":"Mohsen","given":"Seyed","non-dropping-particle":"","parse-names":false,"suffix":""},{"dropping-particle":"","family":"Gholam","given":"Dehghani","non-dropping-particle":"","parse-names":false,"suffix":""}],"id":"ITEM-1","issued":{"date-parts":[["2016"]]},"page":"1-10","title":"The importance of TH22 and TC22 cells in the pathogenesis of Helicobacter pylori- associated gastric diseases","type":"article-journal"},"uris":["http://www.mendeley.com/documents/?uuid=ac67b965-94cc-4af2-9c06-8110177f5974"]}],"mendeley":{"formattedCitation":"[16]","plainTextFormattedCitation":"[16]","previouslyFormattedCitation":"[16]"},"properties":{"noteIndex":0},"schema":"https://github.com/citation-style-language/schema/raw/master/csl-citation.json"}</w:instrText>
      </w:r>
      <w:r>
        <w:rPr>
          <w:sz w:val="20"/>
          <w:szCs w:val="20"/>
        </w:rPr>
        <w:fldChar w:fldCharType="separate"/>
      </w:r>
      <w:r w:rsidRPr="000137F7">
        <w:rPr>
          <w:noProof/>
          <w:sz w:val="20"/>
          <w:szCs w:val="20"/>
        </w:rPr>
        <w:t>[16]</w:t>
      </w:r>
      <w:r>
        <w:rPr>
          <w:sz w:val="20"/>
          <w:szCs w:val="20"/>
        </w:rPr>
        <w:fldChar w:fldCharType="end"/>
      </w:r>
      <w:r>
        <w:rPr>
          <w:i/>
          <w:sz w:val="20"/>
          <w:szCs w:val="20"/>
        </w:rPr>
        <w:t>.</w:t>
      </w:r>
      <w:r>
        <w:rPr>
          <w:sz w:val="20"/>
          <w:szCs w:val="20"/>
        </w:rPr>
        <w:t xml:space="preserve">The neutrophil-lymphocyte ratio can reflect an imbalance between overactive inflammation and protective regulation and has advantages over using neutrophils or lymphocytes alone </w:t>
      </w:r>
      <w:r>
        <w:rPr>
          <w:sz w:val="20"/>
          <w:szCs w:val="20"/>
        </w:rPr>
        <w:fldChar w:fldCharType="begin" w:fldLock="1"/>
      </w:r>
      <w:r>
        <w:rPr>
          <w:sz w:val="20"/>
          <w:szCs w:val="20"/>
        </w:rPr>
        <w:instrText>ADDIN CSL_CITATION {"citationItems":[{"id":"ITEM-1","itemData":{"DOI":"10.1016/j.jns.2019.116445","ISSN":"0022-510X","author":[{"dropping-particle":"","family":"Wang","given":"Lu","non-dropping-particle":"","parse-names":false,"suffix":""},{"dropping-particle":"","family":"Song","given":"Quhong","non-dropping-particle":"","parse-names":false,"suffix":""},{"dropping-particle":"","family":"Wang","given":"Changyi","non-dropping-particle":"","parse-names":false,"suffix":""},{"dropping-particle":"","family":"Wu","given":"Simiao","non-dropping-particle":"","parse-names":false,"suffix":""},{"dropping-particle":"","family":"Deng","given":"Linghui","non-dropping-particle":"","parse-names":false,"suffix":""},{"dropping-particle":"","family":"Li","given":"Yuxiao","non-dropping-particle":"","parse-names":false,"suffix":""},{"dropping-particle":"","family":"Zheng","given":"Lukai","non-dropping-particle":"","parse-names":false,"suffix":""}],"container-title":"Journal of the Neurological Sciences","id":"ITEM-1","issue":"August","issued":{"date-parts":[["2019"]]},"page":"116445","publisher":"Elsevier","title":"Journal of the Neurological Sciences Neutrophil to lymphocyte ratio predicts poor outcomes after acute ischemic stroke : A cohort study and systematic review","type":"article-journal","volume":"406"},"uris":["http://www.mendeley.com/documents/?uuid=8b7f2bd0-b735-416f-8c14-3f691417fe7f"]}],"mendeley":{"formattedCitation":"[17]","plainTextFormattedCitation":"[17]","previouslyFormattedCitation":"[17]"},"properties":{"noteIndex":0},"schema":"https://github.com/citation-style-language/schema/raw/master/csl-citation.json"}</w:instrText>
      </w:r>
      <w:r>
        <w:rPr>
          <w:sz w:val="20"/>
          <w:szCs w:val="20"/>
        </w:rPr>
        <w:fldChar w:fldCharType="separate"/>
      </w:r>
      <w:r w:rsidRPr="000137F7">
        <w:rPr>
          <w:noProof/>
          <w:sz w:val="20"/>
          <w:szCs w:val="20"/>
        </w:rPr>
        <w:t>[17]</w:t>
      </w:r>
      <w:r>
        <w:rPr>
          <w:sz w:val="20"/>
          <w:szCs w:val="20"/>
        </w:rPr>
        <w:fldChar w:fldCharType="end"/>
      </w:r>
      <w:r>
        <w:rPr>
          <w:sz w:val="20"/>
          <w:szCs w:val="20"/>
        </w:rPr>
        <w:t xml:space="preserve">. </w:t>
      </w:r>
      <w:r w:rsidRPr="00841633">
        <w:rPr>
          <w:sz w:val="20"/>
          <w:szCs w:val="20"/>
        </w:rPr>
        <w:t xml:space="preserve">The neutrophil lymphocyte ratio is measured the </w:t>
      </w:r>
      <w:proofErr w:type="spellStart"/>
      <w:r w:rsidRPr="00841633">
        <w:rPr>
          <w:sz w:val="20"/>
          <w:szCs w:val="20"/>
        </w:rPr>
        <w:t>haemogram's</w:t>
      </w:r>
      <w:proofErr w:type="spellEnd"/>
      <w:r w:rsidRPr="00841633">
        <w:rPr>
          <w:sz w:val="20"/>
          <w:szCs w:val="20"/>
        </w:rPr>
        <w:t xml:space="preserve"> absolute lymphocyte and neutrophil counts by each other. </w:t>
      </w:r>
      <w:r>
        <w:rPr>
          <w:sz w:val="20"/>
          <w:szCs w:val="20"/>
        </w:rPr>
        <w:fldChar w:fldCharType="begin" w:fldLock="1"/>
      </w:r>
      <w:r>
        <w:rPr>
          <w:sz w:val="20"/>
          <w:szCs w:val="20"/>
        </w:rPr>
        <w:instrText>ADDIN CSL_CITATION {"citationItems":[{"id":"ITEM-1","itemData":{"author":[{"dropping-particle":"","family":"Atayan","given":"Yahya","non-dropping-particle":"","parse-names":false,"suffix":""},{"dropping-particle":"","family":"Hacisalihoglu","given":"Payam","non-dropping-particle":"","parse-names":false,"suffix":""}],"id":"ITEM-1","issue":"January 2017","issued":{"date-parts":[["2019"]]},"title":"serum neutrophil / lymphocyte ratio in patients with active chronic gastritis The correlation between tissue Helicobacter pylori severity and the increase in serum neutrophil / lymphocyte ratio in patients with active chronic gastritis .","type":"article-journal"},"uris":["http://www.mendeley.com/documents/?uuid=a1ce90df-8b6c-4c01-8d93-4782c0faa6f5"]}],"mendeley":{"formattedCitation":"[15]","plainTextFormattedCitation":"[15]","previouslyFormattedCitation":"[15]"},"properties":{"noteIndex":0},"schema":"https://github.com/citation-style-language/schema/raw/master/csl-citation.json"}</w:instrText>
      </w:r>
      <w:r>
        <w:rPr>
          <w:sz w:val="20"/>
          <w:szCs w:val="20"/>
        </w:rPr>
        <w:fldChar w:fldCharType="separate"/>
      </w:r>
      <w:r w:rsidRPr="000137F7">
        <w:rPr>
          <w:noProof/>
          <w:sz w:val="20"/>
          <w:szCs w:val="20"/>
        </w:rPr>
        <w:t>[15]</w:t>
      </w:r>
      <w:r>
        <w:rPr>
          <w:sz w:val="20"/>
          <w:szCs w:val="20"/>
        </w:rPr>
        <w:fldChar w:fldCharType="end"/>
      </w:r>
      <w:r>
        <w:rPr>
          <w:sz w:val="20"/>
          <w:szCs w:val="20"/>
        </w:rPr>
        <w:t xml:space="preserve">. Staining is an important part of the histologic examination and several stains such as routine </w:t>
      </w:r>
      <w:proofErr w:type="spellStart"/>
      <w:r>
        <w:rPr>
          <w:sz w:val="20"/>
          <w:szCs w:val="20"/>
        </w:rPr>
        <w:t>Hematoxcylin</w:t>
      </w:r>
      <w:proofErr w:type="spellEnd"/>
      <w:r>
        <w:rPr>
          <w:sz w:val="20"/>
          <w:szCs w:val="20"/>
        </w:rPr>
        <w:t xml:space="preserve">-Eosin stain, Giemsa, </w:t>
      </w:r>
      <w:proofErr w:type="spellStart"/>
      <w:r>
        <w:rPr>
          <w:sz w:val="20"/>
          <w:szCs w:val="20"/>
        </w:rPr>
        <w:t>Warthine</w:t>
      </w:r>
      <w:proofErr w:type="spellEnd"/>
      <w:r>
        <w:rPr>
          <w:sz w:val="20"/>
          <w:szCs w:val="20"/>
        </w:rPr>
        <w:t xml:space="preserve"> Starry, </w:t>
      </w:r>
      <w:r w:rsidRPr="005D7A62">
        <w:rPr>
          <w:i/>
          <w:sz w:val="20"/>
          <w:szCs w:val="20"/>
        </w:rPr>
        <w:t>Helicobacter Pylori</w:t>
      </w:r>
      <w:r>
        <w:rPr>
          <w:sz w:val="20"/>
          <w:szCs w:val="20"/>
        </w:rPr>
        <w:t xml:space="preserve"> silver stain, toluidine blue, acridine orange, McMullen, Genta, Dieterle, and immunohistochemical stains have been used to detect </w:t>
      </w:r>
      <w:r w:rsidRPr="005D7A62">
        <w:rPr>
          <w:i/>
          <w:sz w:val="20"/>
          <w:szCs w:val="20"/>
        </w:rPr>
        <w:t>Helicobacter Pylori</w:t>
      </w:r>
      <w:r>
        <w:rPr>
          <w:sz w:val="20"/>
          <w:szCs w:val="20"/>
        </w:rPr>
        <w:t xml:space="preserve">. Additional staining is usually recommended for biopsy specimens showing moderate or severe chronic gastritis, but no Helicobacter Pylori was identified on </w:t>
      </w:r>
      <w:proofErr w:type="spellStart"/>
      <w:r>
        <w:rPr>
          <w:sz w:val="20"/>
          <w:szCs w:val="20"/>
        </w:rPr>
        <w:t>Hematoxcylin</w:t>
      </w:r>
      <w:proofErr w:type="spellEnd"/>
      <w:r>
        <w:rPr>
          <w:sz w:val="20"/>
          <w:szCs w:val="20"/>
        </w:rPr>
        <w:t xml:space="preserve">-Eosin staining. </w:t>
      </w:r>
      <w:r w:rsidRPr="00841633">
        <w:rPr>
          <w:sz w:val="20"/>
          <w:szCs w:val="20"/>
        </w:rPr>
        <w:t xml:space="preserve">Giemsa staining is the most popular technique in clinical application because it is proper, extremely sensitive, and affordable. </w:t>
      </w:r>
      <w:r>
        <w:rPr>
          <w:sz w:val="20"/>
          <w:szCs w:val="20"/>
        </w:rPr>
        <w:fldChar w:fldCharType="begin" w:fldLock="1"/>
      </w:r>
      <w:r>
        <w:rPr>
          <w:sz w:val="20"/>
          <w:szCs w:val="20"/>
        </w:rPr>
        <w:instrText>ADDIN CSL_CITATION {"citationItems":[{"id":"ITEM-1","itemData":{"DOI":"10.3748/wjg.v21.i40.11221","ISSN":"22192840","PMID":"26523098","abstract":"Accurate diagnosis of Helicobacter pylori (H. pylori ) infection is a crucial part in the effective management of many gastroduodenal diseases. Several invasive and non-invasive diagnostic tests are available for the detection of H. pylori and each test has its usefulness and limitations in different clinical situations. Although none can be considered as a single gold standard in clinical practice, several techniques have been developed to give the more reliable results. Invasive tests are performed via endoscopic biopsy specimens and these tests include histology, culture, rapid urease test as well as molecular methods. Developments of endoscopic equipment also contribute to the real-time diagnosis of H. pylori during endoscopy. Urea breathing test and stool antigen test are most widely used noninvasive tests, whereas serology is useful in screening and epidemiological studies. Molecular methods have been used in variable specimens other than gastric mucosa. More than detection of H. pylori infection, several tests are introduced into the evaluation of virulence factors and antibiotic sensitivity of H. pylori , as well as screening precancerous lesions and gastric cancer. The aim of this article is to review the current options and novel developments of diagnostic tests and their applications in different clinical conditions or for specific purposes.","author":[{"dropping-particle":"","family":"Wang","given":"Yao Kuang","non-dropping-particle":"","parse-names":false,"suffix":""},{"dropping-particle":"","family":"Kuo","given":"Fu Chen","non-dropping-particle":"","parse-names":false,"suffix":""},{"dropping-particle":"","family":"Liu","given":"Chung Jung","non-dropping-particle":"","parse-names":false,"suffix":""},{"dropping-particle":"","family":"Wu","given":"Meng Chieh","non-dropping-particle":"","parse-names":false,"suffix":""},{"dropping-particle":"","family":"Shih","given":"Hsiang Yao","non-dropping-particle":"","parse-names":false,"suffix":""},{"dropping-particle":"","family":"Wang","given":"Sophie S.W.","non-dropping-particle":"","parse-names":false,"suffix":""},{"dropping-particle":"","family":"Wu","given":"Jeng Yih","non-dropping-particle":"","parse-names":false,"suffix":""},{"dropping-particle":"","family":"Kuo","given":"Chao Hung","non-dropping-particle":"","parse-names":false,"suffix":""},{"dropping-particle":"","family":"Huang","given":"Yao Kang","non-dropping-particle":"","parse-names":false,"suffix":""},{"dropping-particle":"","family":"Wu","given":"Deng Chyang","non-dropping-particle":"","parse-names":false,"suffix":""}],"container-title":"World Journal of Gastroenterology","id":"ITEM-1","issue":"40","issued":{"date-parts":[["2015"]]},"page":"11221-11235","title":"Diagnosis of helicobacter pylori infection: Current options and developments","type":"article-journal","volume":"21"},"uris":["http://www.mendeley.com/documents/?uuid=2b9b9286-8d08-4a10-b0b8-797fc9b509e8"]}],"mendeley":{"formattedCitation":"[12]","plainTextFormattedCitation":"[12]","previouslyFormattedCitation":"[12]"},"properties":{"noteIndex":0},"schema":"https://github.com/citation-style-language/schema/raw/master/csl-citation.json"}</w:instrText>
      </w:r>
      <w:r>
        <w:rPr>
          <w:sz w:val="20"/>
          <w:szCs w:val="20"/>
        </w:rPr>
        <w:fldChar w:fldCharType="separate"/>
      </w:r>
      <w:r w:rsidRPr="000137F7">
        <w:rPr>
          <w:noProof/>
          <w:sz w:val="20"/>
          <w:szCs w:val="20"/>
        </w:rPr>
        <w:t>[12]</w:t>
      </w:r>
      <w:r>
        <w:rPr>
          <w:sz w:val="20"/>
          <w:szCs w:val="20"/>
        </w:rPr>
        <w:fldChar w:fldCharType="end"/>
      </w:r>
      <w:r w:rsidR="00C4585E">
        <w:rPr>
          <w:sz w:val="20"/>
          <w:szCs w:val="20"/>
        </w:rPr>
        <w:t>.</w:t>
      </w:r>
    </w:p>
    <w:p w14:paraId="6493CE2C" w14:textId="16FC1053" w:rsidR="00C4585E" w:rsidRDefault="0069405D" w:rsidP="0069405D">
      <w:pPr>
        <w:spacing w:line="240" w:lineRule="exact"/>
        <w:ind w:firstLine="270"/>
        <w:jc w:val="both"/>
        <w:rPr>
          <w:sz w:val="20"/>
          <w:szCs w:val="20"/>
        </w:rPr>
      </w:pPr>
      <w:r>
        <w:rPr>
          <w:rStyle w:val="CommentReference"/>
          <w:sz w:val="20"/>
          <w:szCs w:val="20"/>
        </w:rPr>
        <w:t>The purpose</w:t>
      </w:r>
      <w:r w:rsidRPr="006C7956">
        <w:rPr>
          <w:rStyle w:val="CommentReference"/>
          <w:sz w:val="20"/>
          <w:szCs w:val="20"/>
        </w:rPr>
        <w:t xml:space="preserve"> of this study was to analyze the neutrophil lymphocyte ratio (NLR) in patients with gastritis caused by </w:t>
      </w:r>
      <w:r w:rsidRPr="006C7956">
        <w:rPr>
          <w:rStyle w:val="CommentReference"/>
          <w:i/>
          <w:sz w:val="20"/>
          <w:szCs w:val="20"/>
        </w:rPr>
        <w:t>Helicobacter Pylori</w:t>
      </w:r>
      <w:r w:rsidRPr="006C7956">
        <w:rPr>
          <w:rStyle w:val="CommentReference"/>
          <w:sz w:val="20"/>
          <w:szCs w:val="20"/>
        </w:rPr>
        <w:t xml:space="preserve"> by histopathological examination diagnosis</w:t>
      </w:r>
      <w:r w:rsidRPr="006C7956">
        <w:rPr>
          <w:sz w:val="20"/>
          <w:szCs w:val="20"/>
        </w:rPr>
        <w:t>.</w:t>
      </w:r>
      <w:r>
        <w:rPr>
          <w:sz w:val="20"/>
          <w:szCs w:val="20"/>
        </w:rPr>
        <w:t xml:space="preserve"> </w:t>
      </w:r>
      <w:r w:rsidRPr="006C7956">
        <w:rPr>
          <w:sz w:val="20"/>
          <w:szCs w:val="20"/>
        </w:rPr>
        <w:t xml:space="preserve">Fadia </w:t>
      </w:r>
      <w:proofErr w:type="spellStart"/>
      <w:r w:rsidRPr="006C7956">
        <w:rPr>
          <w:sz w:val="20"/>
          <w:szCs w:val="20"/>
        </w:rPr>
        <w:t>Rakhmalia</w:t>
      </w:r>
      <w:proofErr w:type="spellEnd"/>
      <w:r w:rsidRPr="006C7956">
        <w:rPr>
          <w:sz w:val="20"/>
          <w:szCs w:val="20"/>
        </w:rPr>
        <w:t xml:space="preserve">, Anik </w:t>
      </w:r>
      <w:proofErr w:type="spellStart"/>
      <w:r w:rsidRPr="006C7956">
        <w:rPr>
          <w:sz w:val="20"/>
          <w:szCs w:val="20"/>
        </w:rPr>
        <w:t>Handayati</w:t>
      </w:r>
      <w:proofErr w:type="spellEnd"/>
      <w:r w:rsidRPr="006C7956">
        <w:rPr>
          <w:sz w:val="20"/>
          <w:szCs w:val="20"/>
        </w:rPr>
        <w:t xml:space="preserve">, and Evy Diah </w:t>
      </w:r>
      <w:proofErr w:type="spellStart"/>
      <w:r w:rsidRPr="006C7956">
        <w:rPr>
          <w:sz w:val="20"/>
          <w:szCs w:val="20"/>
        </w:rPr>
        <w:t>Woelansari</w:t>
      </w:r>
      <w:proofErr w:type="spellEnd"/>
      <w:r w:rsidRPr="006C7956">
        <w:rPr>
          <w:sz w:val="20"/>
          <w:szCs w:val="20"/>
        </w:rPr>
        <w:t xml:space="preserve"> are conceived of the presented idea. Fadia </w:t>
      </w:r>
      <w:proofErr w:type="spellStart"/>
      <w:r w:rsidRPr="006C7956">
        <w:rPr>
          <w:sz w:val="20"/>
          <w:szCs w:val="20"/>
        </w:rPr>
        <w:t>Rakhmalia</w:t>
      </w:r>
      <w:proofErr w:type="spellEnd"/>
      <w:r w:rsidRPr="006C7956">
        <w:rPr>
          <w:sz w:val="20"/>
          <w:szCs w:val="20"/>
        </w:rPr>
        <w:t xml:space="preserve"> developed the theory and performed the computations. Anik </w:t>
      </w:r>
      <w:proofErr w:type="spellStart"/>
      <w:r w:rsidRPr="006C7956">
        <w:rPr>
          <w:sz w:val="20"/>
          <w:szCs w:val="20"/>
        </w:rPr>
        <w:t>Handayati</w:t>
      </w:r>
      <w:proofErr w:type="spellEnd"/>
      <w:r w:rsidRPr="006C7956">
        <w:rPr>
          <w:sz w:val="20"/>
          <w:szCs w:val="20"/>
        </w:rPr>
        <w:t xml:space="preserve"> and Evy Diah </w:t>
      </w:r>
      <w:proofErr w:type="spellStart"/>
      <w:r w:rsidRPr="006C7956">
        <w:rPr>
          <w:sz w:val="20"/>
          <w:szCs w:val="20"/>
        </w:rPr>
        <w:t>Woelansari</w:t>
      </w:r>
      <w:proofErr w:type="spellEnd"/>
      <w:r w:rsidRPr="006C7956">
        <w:rPr>
          <w:sz w:val="20"/>
          <w:szCs w:val="20"/>
        </w:rPr>
        <w:t xml:space="preserve"> verified the analytical methods. Evy Diah </w:t>
      </w:r>
      <w:proofErr w:type="spellStart"/>
      <w:r w:rsidRPr="006C7956">
        <w:rPr>
          <w:sz w:val="20"/>
          <w:szCs w:val="20"/>
        </w:rPr>
        <w:t>Woelansari</w:t>
      </w:r>
      <w:proofErr w:type="spellEnd"/>
      <w:r w:rsidRPr="006C7956">
        <w:rPr>
          <w:sz w:val="20"/>
          <w:szCs w:val="20"/>
        </w:rPr>
        <w:t xml:space="preserve"> encouraged Fadia </w:t>
      </w:r>
      <w:proofErr w:type="spellStart"/>
      <w:r w:rsidRPr="006C7956">
        <w:rPr>
          <w:sz w:val="20"/>
          <w:szCs w:val="20"/>
        </w:rPr>
        <w:t>Rakhmalia</w:t>
      </w:r>
      <w:proofErr w:type="spellEnd"/>
      <w:r w:rsidRPr="006C7956">
        <w:rPr>
          <w:sz w:val="20"/>
          <w:szCs w:val="20"/>
        </w:rPr>
        <w:t xml:space="preserve"> to investigate the each </w:t>
      </w:r>
      <w:proofErr w:type="spellStart"/>
      <w:r w:rsidRPr="006C7956">
        <w:rPr>
          <w:sz w:val="20"/>
          <w:szCs w:val="20"/>
        </w:rPr>
        <w:t>variabels</w:t>
      </w:r>
      <w:proofErr w:type="spellEnd"/>
      <w:r w:rsidRPr="006C7956">
        <w:rPr>
          <w:sz w:val="20"/>
          <w:szCs w:val="20"/>
        </w:rPr>
        <w:t xml:space="preserve"> used and supervised the findings of this work. All authors discussed the results and cont</w:t>
      </w:r>
      <w:r>
        <w:rPr>
          <w:sz w:val="20"/>
          <w:szCs w:val="20"/>
        </w:rPr>
        <w:t>ributed to the final manuscript</w:t>
      </w:r>
      <w:r w:rsidR="006C7956" w:rsidRPr="006C7956">
        <w:rPr>
          <w:sz w:val="20"/>
          <w:szCs w:val="20"/>
        </w:rPr>
        <w:t>.</w:t>
      </w:r>
    </w:p>
    <w:p w14:paraId="15595756" w14:textId="77777777" w:rsidR="000160D3" w:rsidRDefault="000160D3" w:rsidP="00C4585E">
      <w:pPr>
        <w:spacing w:line="240" w:lineRule="exact"/>
        <w:jc w:val="both"/>
        <w:rPr>
          <w:sz w:val="20"/>
          <w:szCs w:val="20"/>
        </w:rPr>
      </w:pPr>
    </w:p>
    <w:p w14:paraId="1F78408E" w14:textId="77777777" w:rsidR="00E91452" w:rsidRPr="00842CBB" w:rsidRDefault="00324089" w:rsidP="00CC401E">
      <w:pPr>
        <w:pStyle w:val="Heading1"/>
        <w:spacing w:before="0"/>
      </w:pPr>
      <w:r>
        <w:t>II. METHODHOLOGY</w:t>
      </w:r>
    </w:p>
    <w:p w14:paraId="5B77386F" w14:textId="77777777" w:rsidR="00F0769B" w:rsidRDefault="00F0769B" w:rsidP="00F0769B">
      <w:pPr>
        <w:spacing w:line="240" w:lineRule="exact"/>
        <w:ind w:firstLine="270"/>
        <w:jc w:val="both"/>
        <w:rPr>
          <w:color w:val="FF0000"/>
          <w:sz w:val="20"/>
          <w:szCs w:val="20"/>
        </w:rPr>
      </w:pPr>
      <w:r w:rsidRPr="0097670A">
        <w:rPr>
          <w:sz w:val="20"/>
          <w:szCs w:val="20"/>
        </w:rPr>
        <w:t xml:space="preserve">This research project was carried out from February to May 2022 at the Dr. Ramelan Surabaya Anatomical Pathology Laboratory </w:t>
      </w:r>
      <w:proofErr w:type="gramStart"/>
      <w:r w:rsidRPr="0097670A">
        <w:rPr>
          <w:sz w:val="20"/>
          <w:szCs w:val="20"/>
        </w:rPr>
        <w:t>Installation.</w:t>
      </w:r>
      <w:r>
        <w:rPr>
          <w:sz w:val="20"/>
          <w:szCs w:val="20"/>
        </w:rPr>
        <w:t>.</w:t>
      </w:r>
      <w:proofErr w:type="gramEnd"/>
      <w:r>
        <w:rPr>
          <w:sz w:val="20"/>
          <w:szCs w:val="20"/>
        </w:rPr>
        <w:t xml:space="preserve"> This type of research uses a retrospective cohort with a descriptive observational design. This study uses data from SIMRS RSPAL Dr. Ramelan Surabaya for the period January 2019 - February 2022.</w:t>
      </w:r>
    </w:p>
    <w:p w14:paraId="20DC80FB" w14:textId="229F858E" w:rsidR="000160D3" w:rsidRPr="00A11181" w:rsidRDefault="00F0769B" w:rsidP="00A11181">
      <w:pPr>
        <w:spacing w:line="240" w:lineRule="exact"/>
        <w:ind w:firstLine="270"/>
        <w:jc w:val="both"/>
        <w:rPr>
          <w:sz w:val="20"/>
          <w:szCs w:val="20"/>
        </w:rPr>
      </w:pPr>
      <w:r>
        <w:rPr>
          <w:sz w:val="20"/>
          <w:szCs w:val="20"/>
        </w:rPr>
        <w:t xml:space="preserve">The samples of this study were all data on the results of neutrophil cell counts, lymphocyte cell count results, and gastric tissue histopathology results that had been classified using The Updated System Sydney classification for identification of </w:t>
      </w:r>
      <w:r w:rsidRPr="005D7A62">
        <w:rPr>
          <w:i/>
          <w:sz w:val="20"/>
          <w:szCs w:val="20"/>
        </w:rPr>
        <w:t>Helicobacter Pylori</w:t>
      </w:r>
      <w:r>
        <w:rPr>
          <w:sz w:val="20"/>
          <w:szCs w:val="20"/>
        </w:rPr>
        <w:t xml:space="preserve"> bacteria with gastritis at the Anatomical Pathology Laboratory Installation, RSPAL Dr. Ramelan Surabaya for the period January 2019 - February 2022 which meets the inclusion criteria. The sampling technique is purposive sampling where the </w:t>
      </w:r>
      <w:r>
        <w:rPr>
          <w:sz w:val="20"/>
          <w:szCs w:val="20"/>
        </w:rPr>
        <w:lastRenderedPageBreak/>
        <w:t xml:space="preserve">researcher has determined certain conditions under which the sample can be used as research material. </w:t>
      </w:r>
      <w:r w:rsidR="00A11181">
        <w:rPr>
          <w:sz w:val="20"/>
          <w:szCs w:val="20"/>
        </w:rPr>
        <w:t xml:space="preserve"> </w:t>
      </w:r>
      <w:r>
        <w:rPr>
          <w:sz w:val="20"/>
          <w:szCs w:val="20"/>
        </w:rPr>
        <w:t xml:space="preserve">SIMRS data for gastritis </w:t>
      </w:r>
      <w:r w:rsidR="00F162BF">
        <w:rPr>
          <w:sz w:val="20"/>
          <w:szCs w:val="20"/>
        </w:rPr>
        <w:t>patients,</w:t>
      </w:r>
      <w:r>
        <w:rPr>
          <w:sz w:val="20"/>
          <w:szCs w:val="20"/>
        </w:rPr>
        <w:t xml:space="preserve"> who have been filtered according to inclusion criteria, are then processed and collected for data analysis. The inclusion criteria in this study were gastritis patients who had histopathological examination of gastric tissue and complete blood examination.</w:t>
      </w:r>
      <w:r w:rsidR="00A11181">
        <w:rPr>
          <w:sz w:val="20"/>
          <w:szCs w:val="20"/>
        </w:rPr>
        <w:t xml:space="preserve"> </w:t>
      </w:r>
      <w:r>
        <w:rPr>
          <w:sz w:val="20"/>
          <w:szCs w:val="20"/>
        </w:rPr>
        <w:t xml:space="preserve">Complete blood count data on the results of the neutrophil blood cell count and the lymphocyte blood cell count, the Neu/Lim ratio was calculated so that the results of the neutrophil lymphocyte ratio could be obtained. Furthermore, a normality test was performed on the results of the neutrophil lymphocyte ratio (RNL) to determine the distribution of the data. Using the </w:t>
      </w:r>
      <w:proofErr w:type="spellStart"/>
      <w:r>
        <w:rPr>
          <w:sz w:val="20"/>
          <w:szCs w:val="20"/>
        </w:rPr>
        <w:t>Kolmogrov-</w:t>
      </w:r>
      <w:r w:rsidR="00F162BF">
        <w:rPr>
          <w:sz w:val="20"/>
          <w:szCs w:val="20"/>
        </w:rPr>
        <w:t>s</w:t>
      </w:r>
      <w:r>
        <w:rPr>
          <w:sz w:val="20"/>
          <w:szCs w:val="20"/>
        </w:rPr>
        <w:t>mirnov</w:t>
      </w:r>
      <w:proofErr w:type="spellEnd"/>
      <w:r>
        <w:rPr>
          <w:sz w:val="20"/>
          <w:szCs w:val="20"/>
        </w:rPr>
        <w:t xml:space="preserve"> test if the sample is &gt; 50 samples and using the </w:t>
      </w:r>
      <w:proofErr w:type="spellStart"/>
      <w:r>
        <w:rPr>
          <w:sz w:val="20"/>
          <w:szCs w:val="20"/>
        </w:rPr>
        <w:t>Shapirowilk</w:t>
      </w:r>
      <w:proofErr w:type="spellEnd"/>
      <w:r>
        <w:rPr>
          <w:sz w:val="20"/>
          <w:szCs w:val="20"/>
        </w:rPr>
        <w:t xml:space="preserve"> test if the sample used is &lt; 50 samples. </w:t>
      </w:r>
      <w:r w:rsidR="00A11181">
        <w:rPr>
          <w:sz w:val="20"/>
          <w:szCs w:val="20"/>
        </w:rPr>
        <w:t xml:space="preserve"> </w:t>
      </w:r>
      <w:r>
        <w:rPr>
          <w:sz w:val="20"/>
          <w:szCs w:val="20"/>
        </w:rPr>
        <w:t>Determining the minimum and maximum limit values ​​for the neutrophil lymphocyte ratio value using the ROC curve, so that numerical data can be converted into categorical values ​​according to the maximum and minimum limit values. Through the normality test, the distribution of the data used will be known</w:t>
      </w:r>
      <w:r w:rsidR="008304D8">
        <w:rPr>
          <w:sz w:val="20"/>
          <w:szCs w:val="20"/>
        </w:rPr>
        <w:t>.</w:t>
      </w:r>
    </w:p>
    <w:p w14:paraId="464CDBD3" w14:textId="77777777" w:rsidR="00486E60" w:rsidRDefault="00486E60" w:rsidP="00CC401E">
      <w:pPr>
        <w:pStyle w:val="Heading1"/>
      </w:pPr>
      <w:r w:rsidRPr="00842CBB">
        <w:t>III. RESULTS</w:t>
      </w:r>
    </w:p>
    <w:p w14:paraId="4387D9D6" w14:textId="57FFC9FE" w:rsidR="009116D8" w:rsidRDefault="00F0769B" w:rsidP="00A11181">
      <w:pPr>
        <w:spacing w:line="240" w:lineRule="exact"/>
        <w:jc w:val="both"/>
        <w:rPr>
          <w:sz w:val="20"/>
          <w:szCs w:val="20"/>
        </w:rPr>
      </w:pPr>
      <w:r>
        <w:rPr>
          <w:sz w:val="20"/>
          <w:szCs w:val="20"/>
        </w:rPr>
        <w:t>A result of research conducted at RSPAL dr. Ramelan Surabaya using SIMRS data on history of gastritis patients with histopathological identification and complete blood count as a source of data on the ratio of neutrophils to lymphocytes</w:t>
      </w:r>
      <w:r w:rsidR="00D8425E">
        <w:rPr>
          <w:sz w:val="20"/>
          <w:szCs w:val="20"/>
        </w:rPr>
        <w:t>.</w:t>
      </w:r>
    </w:p>
    <w:p w14:paraId="43B32F18" w14:textId="77777777" w:rsidR="009116D8" w:rsidRDefault="009116D8" w:rsidP="009116D8">
      <w:pPr>
        <w:jc w:val="both"/>
        <w:rPr>
          <w:sz w:val="20"/>
          <w:szCs w:val="20"/>
        </w:rPr>
      </w:pPr>
      <w:r>
        <w:rPr>
          <w:noProof/>
        </w:rPr>
        <w:drawing>
          <wp:inline distT="0" distB="0" distL="0" distR="0" wp14:anchorId="6439874F" wp14:editId="0BB04523">
            <wp:extent cx="3060700" cy="1987367"/>
            <wp:effectExtent l="0" t="0" r="6350" b="1333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C910D2C" w14:textId="335CEB49" w:rsidR="009116D8" w:rsidRPr="009116D8" w:rsidRDefault="009116D8" w:rsidP="009116D8">
      <w:pPr>
        <w:jc w:val="both"/>
        <w:rPr>
          <w:rFonts w:ascii="Helvetica" w:hAnsi="Helvetica" w:cs="Helvetica"/>
          <w:b/>
          <w:sz w:val="14"/>
          <w:szCs w:val="14"/>
        </w:rPr>
      </w:pPr>
      <w:r w:rsidRPr="00B82E15">
        <w:rPr>
          <w:rFonts w:ascii="Helvetica" w:hAnsi="Helvetica" w:cs="Helvetica"/>
          <w:b/>
          <w:color w:val="2F5496" w:themeColor="accent1" w:themeShade="BF"/>
          <w:sz w:val="14"/>
          <w:szCs w:val="14"/>
        </w:rPr>
        <w:t xml:space="preserve">FIGURE 1. </w:t>
      </w:r>
      <w:r w:rsidRPr="00B82E15">
        <w:rPr>
          <w:rFonts w:ascii="Helvetica" w:hAnsi="Helvetica" w:cs="Helvetica"/>
          <w:b/>
          <w:sz w:val="14"/>
          <w:szCs w:val="14"/>
        </w:rPr>
        <w:t xml:space="preserve">Frequency of Sex of Gastritis Patients </w:t>
      </w:r>
      <w:proofErr w:type="gramStart"/>
      <w:r w:rsidRPr="00B82E15">
        <w:rPr>
          <w:rFonts w:ascii="Helvetica" w:hAnsi="Helvetica" w:cs="Helvetica"/>
          <w:b/>
          <w:sz w:val="14"/>
          <w:szCs w:val="14"/>
        </w:rPr>
        <w:t>From</w:t>
      </w:r>
      <w:proofErr w:type="gramEnd"/>
      <w:r w:rsidRPr="00B82E15">
        <w:rPr>
          <w:rFonts w:ascii="Helvetica" w:hAnsi="Helvetica" w:cs="Helvetica"/>
          <w:b/>
          <w:sz w:val="14"/>
          <w:szCs w:val="14"/>
        </w:rPr>
        <w:t xml:space="preserve"> Histopathological Examination and Neutrophil Lymphocyte Ratio</w:t>
      </w:r>
      <w:r>
        <w:rPr>
          <w:rFonts w:ascii="Helvetica" w:hAnsi="Helvetica" w:cs="Helvetica"/>
          <w:b/>
          <w:sz w:val="14"/>
          <w:szCs w:val="14"/>
        </w:rPr>
        <w:t xml:space="preserve"> (NLR).</w:t>
      </w:r>
    </w:p>
    <w:p w14:paraId="6BB64092" w14:textId="77777777" w:rsidR="00932C45" w:rsidRDefault="00932C45" w:rsidP="00932C45">
      <w:pPr>
        <w:rPr>
          <w:sz w:val="20"/>
          <w:szCs w:val="20"/>
        </w:rPr>
      </w:pPr>
    </w:p>
    <w:p w14:paraId="49D8018C" w14:textId="77777777" w:rsidR="00932C45" w:rsidRPr="00932C45" w:rsidRDefault="00932C45" w:rsidP="00932C45">
      <w:pPr>
        <w:pStyle w:val="ListParagraph"/>
        <w:numPr>
          <w:ilvl w:val="0"/>
          <w:numId w:val="18"/>
        </w:numPr>
        <w:ind w:left="270" w:hanging="270"/>
        <w:rPr>
          <w:b/>
          <w:i/>
        </w:rPr>
      </w:pPr>
      <w:r w:rsidRPr="00932C45">
        <w:rPr>
          <w:b/>
          <w:i/>
          <w:lang w:val="en-US"/>
        </w:rPr>
        <w:t>CHARACTERISTICS OF PEOPLE WITH GASTRITIS BY GENDER</w:t>
      </w:r>
    </w:p>
    <w:p w14:paraId="7EC02FE6" w14:textId="77777777" w:rsidR="00932C45" w:rsidRPr="00932C45" w:rsidRDefault="00932C45" w:rsidP="00932C45">
      <w:pPr>
        <w:pStyle w:val="ListParagraph"/>
        <w:ind w:left="270"/>
        <w:rPr>
          <w:b/>
          <w:i/>
        </w:rPr>
      </w:pPr>
    </w:p>
    <w:p w14:paraId="2DFA74CE" w14:textId="1C80B30A" w:rsidR="00932C45" w:rsidRPr="00B82E15" w:rsidRDefault="00932C45" w:rsidP="00C04E4A">
      <w:pPr>
        <w:pStyle w:val="ListParagraph"/>
        <w:spacing w:line="240" w:lineRule="auto"/>
        <w:ind w:left="0"/>
        <w:jc w:val="center"/>
        <w:rPr>
          <w:rFonts w:ascii="Helvetica" w:hAnsi="Helvetica" w:cs="Helvetica"/>
          <w:color w:val="2F5496" w:themeColor="accent1" w:themeShade="BF"/>
          <w:sz w:val="14"/>
          <w:szCs w:val="14"/>
        </w:rPr>
      </w:pPr>
      <w:r w:rsidRPr="00B82E15">
        <w:rPr>
          <w:rFonts w:ascii="Helvetica" w:hAnsi="Helvetica" w:cs="Helvetica"/>
          <w:b/>
          <w:color w:val="2F5496" w:themeColor="accent1" w:themeShade="BF"/>
          <w:sz w:val="14"/>
          <w:szCs w:val="14"/>
        </w:rPr>
        <w:t>TABLE</w:t>
      </w:r>
      <w:r w:rsidR="005D7A62" w:rsidRPr="00B82E15">
        <w:rPr>
          <w:rFonts w:ascii="Helvetica" w:hAnsi="Helvetica" w:cs="Helvetica"/>
          <w:b/>
          <w:color w:val="2F5496" w:themeColor="accent1" w:themeShade="BF"/>
          <w:sz w:val="14"/>
          <w:szCs w:val="14"/>
          <w:lang w:val="en-US"/>
        </w:rPr>
        <w:t xml:space="preserve"> </w:t>
      </w:r>
      <w:r w:rsidRPr="00B82E15">
        <w:rPr>
          <w:rFonts w:ascii="Helvetica" w:hAnsi="Helvetica" w:cs="Helvetica"/>
          <w:b/>
          <w:color w:val="2F5496" w:themeColor="accent1" w:themeShade="BF"/>
          <w:sz w:val="14"/>
          <w:szCs w:val="14"/>
        </w:rPr>
        <w:fldChar w:fldCharType="begin"/>
      </w:r>
      <w:r w:rsidRPr="00B82E15">
        <w:rPr>
          <w:rFonts w:ascii="Helvetica" w:hAnsi="Helvetica" w:cs="Helvetica"/>
          <w:b/>
          <w:color w:val="2F5496" w:themeColor="accent1" w:themeShade="BF"/>
          <w:sz w:val="14"/>
          <w:szCs w:val="14"/>
        </w:rPr>
        <w:instrText xml:space="preserve"> SEQ Tabel \* ARABIC </w:instrText>
      </w:r>
      <w:r w:rsidRPr="00B82E15">
        <w:rPr>
          <w:rFonts w:ascii="Helvetica" w:hAnsi="Helvetica" w:cs="Helvetica"/>
          <w:b/>
          <w:color w:val="2F5496" w:themeColor="accent1" w:themeShade="BF"/>
          <w:sz w:val="14"/>
          <w:szCs w:val="14"/>
        </w:rPr>
        <w:fldChar w:fldCharType="separate"/>
      </w:r>
      <w:r w:rsidR="006030B3">
        <w:rPr>
          <w:rFonts w:ascii="Helvetica" w:hAnsi="Helvetica" w:cs="Helvetica"/>
          <w:b/>
          <w:noProof/>
          <w:color w:val="2F5496" w:themeColor="accent1" w:themeShade="BF"/>
          <w:sz w:val="14"/>
          <w:szCs w:val="14"/>
        </w:rPr>
        <w:t>1</w:t>
      </w:r>
      <w:r w:rsidRPr="00B82E15">
        <w:rPr>
          <w:rFonts w:ascii="Helvetica" w:hAnsi="Helvetica" w:cs="Helvetica"/>
          <w:b/>
          <w:color w:val="2F5496" w:themeColor="accent1" w:themeShade="BF"/>
          <w:sz w:val="14"/>
          <w:szCs w:val="14"/>
        </w:rPr>
        <w:fldChar w:fldCharType="end"/>
      </w:r>
    </w:p>
    <w:p w14:paraId="7C5FCC30" w14:textId="4D7D3338" w:rsidR="00932C45" w:rsidRPr="00F162BF" w:rsidRDefault="00932C45" w:rsidP="00C04E4A">
      <w:pPr>
        <w:pStyle w:val="ListParagraph"/>
        <w:spacing w:line="240" w:lineRule="auto"/>
        <w:ind w:left="0"/>
        <w:jc w:val="both"/>
        <w:rPr>
          <w:rFonts w:ascii="Helvetica" w:hAnsi="Helvetica" w:cs="Helvetica"/>
          <w:b/>
          <w:sz w:val="14"/>
          <w:szCs w:val="14"/>
          <w:lang w:val="en-US"/>
        </w:rPr>
      </w:pPr>
      <w:r w:rsidRPr="00B82E15">
        <w:rPr>
          <w:rFonts w:ascii="Helvetica" w:hAnsi="Helvetica" w:cs="Helvetica"/>
          <w:b/>
          <w:sz w:val="14"/>
          <w:szCs w:val="14"/>
        </w:rPr>
        <w:t xml:space="preserve">Gender </w:t>
      </w:r>
      <w:proofErr w:type="spellStart"/>
      <w:r w:rsidRPr="00B82E15">
        <w:rPr>
          <w:rFonts w:ascii="Helvetica" w:hAnsi="Helvetica" w:cs="Helvetica"/>
          <w:b/>
          <w:sz w:val="14"/>
          <w:szCs w:val="14"/>
        </w:rPr>
        <w:t>Demography</w:t>
      </w:r>
      <w:proofErr w:type="spellEnd"/>
      <w:r w:rsidRPr="00B82E15">
        <w:rPr>
          <w:rFonts w:ascii="Helvetica" w:hAnsi="Helvetica" w:cs="Helvetica"/>
          <w:b/>
          <w:sz w:val="14"/>
          <w:szCs w:val="14"/>
        </w:rPr>
        <w:t xml:space="preserve"> </w:t>
      </w:r>
      <w:proofErr w:type="spellStart"/>
      <w:r w:rsidRPr="00B82E15">
        <w:rPr>
          <w:rFonts w:ascii="Helvetica" w:hAnsi="Helvetica" w:cs="Helvetica"/>
          <w:b/>
          <w:sz w:val="14"/>
          <w:szCs w:val="14"/>
        </w:rPr>
        <w:t>of</w:t>
      </w:r>
      <w:proofErr w:type="spellEnd"/>
      <w:r w:rsidRPr="00B82E15">
        <w:rPr>
          <w:rFonts w:ascii="Helvetica" w:hAnsi="Helvetica" w:cs="Helvetica"/>
          <w:b/>
          <w:sz w:val="14"/>
          <w:szCs w:val="14"/>
        </w:rPr>
        <w:t xml:space="preserve"> Gastritis </w:t>
      </w:r>
      <w:proofErr w:type="spellStart"/>
      <w:r w:rsidRPr="00B82E15">
        <w:rPr>
          <w:rFonts w:ascii="Helvetica" w:hAnsi="Helvetica" w:cs="Helvetica"/>
          <w:b/>
          <w:sz w:val="14"/>
          <w:szCs w:val="14"/>
        </w:rPr>
        <w:t>Patients</w:t>
      </w:r>
      <w:proofErr w:type="spellEnd"/>
      <w:r w:rsidRPr="00B82E15">
        <w:rPr>
          <w:rFonts w:ascii="Helvetica" w:hAnsi="Helvetica" w:cs="Helvetica"/>
          <w:b/>
          <w:sz w:val="14"/>
          <w:szCs w:val="14"/>
        </w:rPr>
        <w:t xml:space="preserve"> </w:t>
      </w:r>
      <w:proofErr w:type="spellStart"/>
      <w:r w:rsidRPr="00B82E15">
        <w:rPr>
          <w:rFonts w:ascii="Helvetica" w:hAnsi="Helvetica" w:cs="Helvetica"/>
          <w:b/>
          <w:sz w:val="14"/>
          <w:szCs w:val="14"/>
        </w:rPr>
        <w:t>From</w:t>
      </w:r>
      <w:proofErr w:type="spellEnd"/>
      <w:r w:rsidRPr="00B82E15">
        <w:rPr>
          <w:rFonts w:ascii="Helvetica" w:hAnsi="Helvetica" w:cs="Helvetica"/>
          <w:b/>
          <w:sz w:val="14"/>
          <w:szCs w:val="14"/>
        </w:rPr>
        <w:t xml:space="preserve"> </w:t>
      </w:r>
      <w:proofErr w:type="spellStart"/>
      <w:r w:rsidRPr="00B82E15">
        <w:rPr>
          <w:rFonts w:ascii="Helvetica" w:hAnsi="Helvetica" w:cs="Helvetica"/>
          <w:b/>
          <w:sz w:val="14"/>
          <w:szCs w:val="14"/>
        </w:rPr>
        <w:t>Histopathological</w:t>
      </w:r>
      <w:proofErr w:type="spellEnd"/>
      <w:r w:rsidRPr="00B82E15">
        <w:rPr>
          <w:rFonts w:ascii="Helvetica" w:hAnsi="Helvetica" w:cs="Helvetica"/>
          <w:b/>
          <w:sz w:val="14"/>
          <w:szCs w:val="14"/>
        </w:rPr>
        <w:t xml:space="preserve"> </w:t>
      </w:r>
      <w:proofErr w:type="spellStart"/>
      <w:r w:rsidRPr="00B82E15">
        <w:rPr>
          <w:rFonts w:ascii="Helvetica" w:hAnsi="Helvetica" w:cs="Helvetica"/>
          <w:b/>
          <w:sz w:val="14"/>
          <w:szCs w:val="14"/>
        </w:rPr>
        <w:t>Examination</w:t>
      </w:r>
      <w:proofErr w:type="spellEnd"/>
      <w:r w:rsidRPr="00B82E15">
        <w:rPr>
          <w:rFonts w:ascii="Helvetica" w:hAnsi="Helvetica" w:cs="Helvetica"/>
          <w:b/>
          <w:sz w:val="14"/>
          <w:szCs w:val="14"/>
        </w:rPr>
        <w:t xml:space="preserve"> </w:t>
      </w:r>
      <w:proofErr w:type="spellStart"/>
      <w:r w:rsidRPr="00B82E15">
        <w:rPr>
          <w:rFonts w:ascii="Helvetica" w:hAnsi="Helvetica" w:cs="Helvetica"/>
          <w:b/>
          <w:sz w:val="14"/>
          <w:szCs w:val="14"/>
        </w:rPr>
        <w:t>and</w:t>
      </w:r>
      <w:proofErr w:type="spellEnd"/>
      <w:r w:rsidRPr="00B82E15">
        <w:rPr>
          <w:rFonts w:ascii="Helvetica" w:hAnsi="Helvetica" w:cs="Helvetica"/>
          <w:b/>
          <w:sz w:val="14"/>
          <w:szCs w:val="14"/>
        </w:rPr>
        <w:t xml:space="preserve"> </w:t>
      </w:r>
      <w:proofErr w:type="spellStart"/>
      <w:r w:rsidRPr="00B82E15">
        <w:rPr>
          <w:rFonts w:ascii="Helvetica" w:hAnsi="Helvetica" w:cs="Helvetica"/>
          <w:b/>
          <w:sz w:val="14"/>
          <w:szCs w:val="14"/>
        </w:rPr>
        <w:t>Neutrophil</w:t>
      </w:r>
      <w:proofErr w:type="spellEnd"/>
      <w:r w:rsidRPr="00B82E15">
        <w:rPr>
          <w:rFonts w:ascii="Helvetica" w:hAnsi="Helvetica" w:cs="Helvetica"/>
          <w:b/>
          <w:sz w:val="14"/>
          <w:szCs w:val="14"/>
        </w:rPr>
        <w:t xml:space="preserve"> </w:t>
      </w:r>
      <w:proofErr w:type="spellStart"/>
      <w:r w:rsidRPr="00B82E15">
        <w:rPr>
          <w:rFonts w:ascii="Helvetica" w:hAnsi="Helvetica" w:cs="Helvetica"/>
          <w:b/>
          <w:sz w:val="14"/>
          <w:szCs w:val="14"/>
        </w:rPr>
        <w:t>Lymphocyte</w:t>
      </w:r>
      <w:proofErr w:type="spellEnd"/>
      <w:r w:rsidRPr="00B82E15">
        <w:rPr>
          <w:rFonts w:ascii="Helvetica" w:hAnsi="Helvetica" w:cs="Helvetica"/>
          <w:b/>
          <w:sz w:val="14"/>
          <w:szCs w:val="14"/>
        </w:rPr>
        <w:t xml:space="preserve"> </w:t>
      </w:r>
      <w:proofErr w:type="spellStart"/>
      <w:r w:rsidRPr="00B82E15">
        <w:rPr>
          <w:rFonts w:ascii="Helvetica" w:hAnsi="Helvetica" w:cs="Helvetica"/>
          <w:b/>
          <w:sz w:val="14"/>
          <w:szCs w:val="14"/>
        </w:rPr>
        <w:t>Ratio</w:t>
      </w:r>
      <w:proofErr w:type="spellEnd"/>
      <w:r w:rsidR="00F162BF">
        <w:rPr>
          <w:rFonts w:ascii="Helvetica" w:hAnsi="Helvetica" w:cs="Helvetica"/>
          <w:b/>
          <w:sz w:val="14"/>
          <w:szCs w:val="14"/>
          <w:lang w:val="en-US"/>
        </w:rPr>
        <w:t xml:space="preserve"> (NLR)</w:t>
      </w:r>
    </w:p>
    <w:tbl>
      <w:tblPr>
        <w:tblStyle w:val="LightShading"/>
        <w:tblW w:w="4630" w:type="dxa"/>
        <w:jc w:val="center"/>
        <w:tblInd w:w="0" w:type="dxa"/>
        <w:tblLook w:val="04A0" w:firstRow="1" w:lastRow="0" w:firstColumn="1" w:lastColumn="0" w:noHBand="0" w:noVBand="1"/>
      </w:tblPr>
      <w:tblGrid>
        <w:gridCol w:w="2512"/>
        <w:gridCol w:w="2118"/>
      </w:tblGrid>
      <w:tr w:rsidR="00451137" w:rsidRPr="00843821" w14:paraId="59E09298" w14:textId="77777777" w:rsidTr="00B82E15">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512" w:type="dxa"/>
            <w:noWrap/>
            <w:hideMark/>
          </w:tcPr>
          <w:p w14:paraId="4A067D95" w14:textId="77777777" w:rsidR="00451137" w:rsidRPr="00843821" w:rsidRDefault="00451137" w:rsidP="00B82E15">
            <w:pPr>
              <w:spacing w:after="0"/>
              <w:jc w:val="center"/>
              <w:rPr>
                <w:rFonts w:ascii="Times New Roman" w:eastAsia="Times New Roman" w:hAnsi="Times New Roman" w:cs="Times New Roman"/>
                <w:color w:val="000000"/>
                <w:sz w:val="20"/>
                <w:szCs w:val="20"/>
              </w:rPr>
            </w:pPr>
            <w:r w:rsidRPr="00843821">
              <w:rPr>
                <w:rFonts w:ascii="Times New Roman" w:eastAsia="Times New Roman" w:hAnsi="Times New Roman" w:cs="Times New Roman"/>
                <w:color w:val="000000"/>
                <w:sz w:val="20"/>
                <w:szCs w:val="20"/>
              </w:rPr>
              <w:t>Male (n)</w:t>
            </w:r>
          </w:p>
        </w:tc>
        <w:tc>
          <w:tcPr>
            <w:tcW w:w="2118" w:type="dxa"/>
            <w:noWrap/>
            <w:hideMark/>
          </w:tcPr>
          <w:p w14:paraId="760C8894" w14:textId="77777777" w:rsidR="00451137" w:rsidRPr="00843821" w:rsidRDefault="00451137" w:rsidP="00B82E15">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843821">
              <w:rPr>
                <w:rFonts w:ascii="Times New Roman" w:eastAsia="Times New Roman" w:hAnsi="Times New Roman" w:cs="Times New Roman"/>
                <w:color w:val="000000"/>
                <w:sz w:val="20"/>
                <w:szCs w:val="20"/>
              </w:rPr>
              <w:t>Female (n)</w:t>
            </w:r>
          </w:p>
        </w:tc>
      </w:tr>
      <w:tr w:rsidR="00451137" w:rsidRPr="00843821" w14:paraId="1044A41B" w14:textId="77777777" w:rsidTr="00B82E1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2512" w:type="dxa"/>
            <w:noWrap/>
            <w:hideMark/>
          </w:tcPr>
          <w:p w14:paraId="1764C2BD" w14:textId="77777777" w:rsidR="00451137" w:rsidRPr="00843821" w:rsidRDefault="00451137" w:rsidP="00B82E15">
            <w:pPr>
              <w:jc w:val="center"/>
              <w:rPr>
                <w:rFonts w:ascii="Times New Roman" w:eastAsia="Times New Roman" w:hAnsi="Times New Roman" w:cs="Times New Roman"/>
                <w:color w:val="000000"/>
                <w:sz w:val="20"/>
                <w:szCs w:val="20"/>
              </w:rPr>
            </w:pPr>
            <w:r w:rsidRPr="00843821">
              <w:rPr>
                <w:rFonts w:ascii="Times New Roman" w:eastAsia="Times New Roman" w:hAnsi="Times New Roman" w:cs="Times New Roman"/>
                <w:color w:val="000000"/>
                <w:sz w:val="20"/>
                <w:szCs w:val="20"/>
              </w:rPr>
              <w:t>28</w:t>
            </w:r>
          </w:p>
        </w:tc>
        <w:tc>
          <w:tcPr>
            <w:tcW w:w="2118" w:type="dxa"/>
            <w:noWrap/>
            <w:hideMark/>
          </w:tcPr>
          <w:p w14:paraId="0F8F8742" w14:textId="77777777" w:rsidR="00451137" w:rsidRPr="00843821" w:rsidRDefault="00451137" w:rsidP="00B82E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843821">
              <w:rPr>
                <w:rFonts w:ascii="Times New Roman" w:eastAsia="Times New Roman" w:hAnsi="Times New Roman" w:cs="Times New Roman"/>
                <w:color w:val="000000"/>
                <w:sz w:val="20"/>
                <w:szCs w:val="20"/>
              </w:rPr>
              <w:t>32</w:t>
            </w:r>
          </w:p>
        </w:tc>
      </w:tr>
    </w:tbl>
    <w:p w14:paraId="3015C6A2" w14:textId="77777777" w:rsidR="00451137" w:rsidRDefault="00451137" w:rsidP="00AD1CAA">
      <w:pPr>
        <w:pStyle w:val="ListParagraph"/>
        <w:spacing w:after="0" w:line="240" w:lineRule="exact"/>
        <w:ind w:left="0"/>
        <w:jc w:val="both"/>
        <w:rPr>
          <w:rStyle w:val="CommentReference"/>
          <w:lang w:val="en-US" w:eastAsia="en-US"/>
        </w:rPr>
      </w:pPr>
    </w:p>
    <w:p w14:paraId="5AD1174B" w14:textId="6F2C9224" w:rsidR="0034044A" w:rsidRPr="00B82E15" w:rsidRDefault="00932C45" w:rsidP="00B82E15">
      <w:pPr>
        <w:pStyle w:val="ListParagraph"/>
        <w:spacing w:after="0" w:line="240" w:lineRule="auto"/>
        <w:ind w:left="0"/>
        <w:jc w:val="both"/>
        <w:rPr>
          <w:rStyle w:val="CommentReference"/>
          <w:sz w:val="20"/>
          <w:szCs w:val="20"/>
        </w:rPr>
      </w:pPr>
      <w:r w:rsidRPr="00B82E15">
        <w:rPr>
          <w:bCs/>
          <w:color w:val="2F5496" w:themeColor="accent1" w:themeShade="BF"/>
        </w:rPr>
        <w:t>TABLE 1</w:t>
      </w:r>
      <w:r>
        <w:rPr>
          <w:b/>
          <w:lang w:val="en-US"/>
        </w:rPr>
        <w:t xml:space="preserve"> </w:t>
      </w:r>
      <w:proofErr w:type="spellStart"/>
      <w:r w:rsidR="000160D3">
        <w:t>Based</w:t>
      </w:r>
      <w:proofErr w:type="spellEnd"/>
      <w:r w:rsidR="000160D3">
        <w:t xml:space="preserve"> on </w:t>
      </w:r>
      <w:proofErr w:type="spellStart"/>
      <w:r w:rsidR="000160D3">
        <w:t>the</w:t>
      </w:r>
      <w:proofErr w:type="spellEnd"/>
      <w:r w:rsidR="000160D3">
        <w:t xml:space="preserve"> </w:t>
      </w:r>
      <w:proofErr w:type="spellStart"/>
      <w:r w:rsidR="000160D3">
        <w:t>demographic</w:t>
      </w:r>
      <w:proofErr w:type="spellEnd"/>
      <w:r w:rsidR="000160D3">
        <w:t xml:space="preserve"> data </w:t>
      </w:r>
      <w:proofErr w:type="spellStart"/>
      <w:r w:rsidR="000160D3">
        <w:t>of</w:t>
      </w:r>
      <w:proofErr w:type="spellEnd"/>
      <w:r w:rsidR="000160D3">
        <w:t xml:space="preserve"> 60 gastritis </w:t>
      </w:r>
      <w:proofErr w:type="spellStart"/>
      <w:r w:rsidR="000160D3">
        <w:t>sufferers</w:t>
      </w:r>
      <w:proofErr w:type="spellEnd"/>
      <w:r w:rsidR="000160D3">
        <w:t xml:space="preserve"> in </w:t>
      </w:r>
      <w:proofErr w:type="spellStart"/>
      <w:r w:rsidR="000160D3">
        <w:t>this</w:t>
      </w:r>
      <w:proofErr w:type="spellEnd"/>
      <w:r w:rsidR="000160D3">
        <w:t xml:space="preserve"> study, </w:t>
      </w:r>
      <w:proofErr w:type="spellStart"/>
      <w:r w:rsidR="000160D3">
        <w:t>they</w:t>
      </w:r>
      <w:proofErr w:type="spellEnd"/>
      <w:r w:rsidR="000160D3">
        <w:t xml:space="preserve"> are </w:t>
      </w:r>
      <w:proofErr w:type="spellStart"/>
      <w:r w:rsidR="000160D3">
        <w:t>presented</w:t>
      </w:r>
      <w:proofErr w:type="spellEnd"/>
      <w:r w:rsidR="000160D3">
        <w:t xml:space="preserve"> in </w:t>
      </w:r>
      <w:proofErr w:type="spellStart"/>
      <w:r w:rsidR="000160D3">
        <w:t>table</w:t>
      </w:r>
      <w:proofErr w:type="spellEnd"/>
      <w:r w:rsidR="000160D3">
        <w:t xml:space="preserve"> 1 </w:t>
      </w:r>
      <w:proofErr w:type="spellStart"/>
      <w:r w:rsidR="000160D3">
        <w:t>and</w:t>
      </w:r>
      <w:proofErr w:type="spellEnd"/>
      <w:r w:rsidR="000160D3">
        <w:t xml:space="preserve"> </w:t>
      </w:r>
      <w:proofErr w:type="spellStart"/>
      <w:r w:rsidR="000160D3">
        <w:t>table</w:t>
      </w:r>
      <w:proofErr w:type="spellEnd"/>
      <w:r w:rsidR="000160D3">
        <w:t xml:space="preserve"> 2. Gastritis </w:t>
      </w:r>
      <w:proofErr w:type="spellStart"/>
      <w:r w:rsidR="000160D3">
        <w:t>patients</w:t>
      </w:r>
      <w:proofErr w:type="spellEnd"/>
      <w:r w:rsidR="000160D3">
        <w:t xml:space="preserve"> </w:t>
      </w:r>
      <w:proofErr w:type="spellStart"/>
      <w:r w:rsidR="000160D3">
        <w:t>aged</w:t>
      </w:r>
      <w:proofErr w:type="spellEnd"/>
      <w:r w:rsidR="000160D3">
        <w:t xml:space="preserve"> 15-83 </w:t>
      </w:r>
      <w:proofErr w:type="spellStart"/>
      <w:r w:rsidR="000160D3">
        <w:t>years</w:t>
      </w:r>
      <w:proofErr w:type="spellEnd"/>
      <w:r w:rsidR="000160D3">
        <w:t xml:space="preserve"> </w:t>
      </w:r>
      <w:proofErr w:type="spellStart"/>
      <w:r w:rsidR="000160D3">
        <w:t>and</w:t>
      </w:r>
      <w:proofErr w:type="spellEnd"/>
      <w:r w:rsidR="000160D3">
        <w:t xml:space="preserve"> </w:t>
      </w:r>
      <w:proofErr w:type="spellStart"/>
      <w:r w:rsidR="000160D3">
        <w:t>have</w:t>
      </w:r>
      <w:proofErr w:type="spellEnd"/>
      <w:r w:rsidR="000160D3">
        <w:t xml:space="preserve"> </w:t>
      </w:r>
      <w:proofErr w:type="spellStart"/>
      <w:r w:rsidR="000160D3">
        <w:t>been</w:t>
      </w:r>
      <w:proofErr w:type="spellEnd"/>
      <w:r w:rsidR="000160D3">
        <w:t xml:space="preserve"> </w:t>
      </w:r>
      <w:proofErr w:type="spellStart"/>
      <w:r w:rsidR="000160D3">
        <w:t>examined</w:t>
      </w:r>
      <w:proofErr w:type="spellEnd"/>
      <w:r w:rsidR="000160D3">
        <w:t xml:space="preserve"> </w:t>
      </w:r>
      <w:proofErr w:type="spellStart"/>
      <w:r w:rsidR="000160D3">
        <w:t>at</w:t>
      </w:r>
      <w:proofErr w:type="spellEnd"/>
      <w:r w:rsidR="000160D3">
        <w:t xml:space="preserve"> </w:t>
      </w:r>
      <w:proofErr w:type="spellStart"/>
      <w:r w:rsidR="000160D3">
        <w:t>the</w:t>
      </w:r>
      <w:proofErr w:type="spellEnd"/>
      <w:r w:rsidR="000160D3">
        <w:t xml:space="preserve"> </w:t>
      </w:r>
      <w:proofErr w:type="spellStart"/>
      <w:r w:rsidR="000160D3">
        <w:t>Anatomical</w:t>
      </w:r>
      <w:proofErr w:type="spellEnd"/>
      <w:r w:rsidR="000160D3">
        <w:t xml:space="preserve"> </w:t>
      </w:r>
      <w:proofErr w:type="spellStart"/>
      <w:r w:rsidR="000160D3">
        <w:t>Pathology</w:t>
      </w:r>
      <w:proofErr w:type="spellEnd"/>
      <w:r w:rsidR="000160D3">
        <w:t xml:space="preserve"> </w:t>
      </w:r>
      <w:proofErr w:type="spellStart"/>
      <w:r w:rsidR="000160D3">
        <w:t>Laboratory</w:t>
      </w:r>
      <w:proofErr w:type="spellEnd"/>
      <w:r w:rsidR="000160D3">
        <w:t xml:space="preserve"> </w:t>
      </w:r>
      <w:proofErr w:type="spellStart"/>
      <w:r w:rsidR="000160D3">
        <w:t>and</w:t>
      </w:r>
      <w:proofErr w:type="spellEnd"/>
      <w:r w:rsidR="000160D3">
        <w:t xml:space="preserve"> </w:t>
      </w:r>
      <w:proofErr w:type="spellStart"/>
      <w:r w:rsidR="000160D3">
        <w:t>Clinical</w:t>
      </w:r>
      <w:proofErr w:type="spellEnd"/>
      <w:r w:rsidR="000160D3">
        <w:t xml:space="preserve"> </w:t>
      </w:r>
      <w:proofErr w:type="spellStart"/>
      <w:r w:rsidR="000160D3">
        <w:t>Pathology</w:t>
      </w:r>
      <w:proofErr w:type="spellEnd"/>
      <w:r w:rsidR="000160D3">
        <w:t xml:space="preserve"> </w:t>
      </w:r>
      <w:proofErr w:type="spellStart"/>
      <w:r w:rsidR="000160D3">
        <w:t>Laboratory</w:t>
      </w:r>
      <w:proofErr w:type="spellEnd"/>
      <w:r w:rsidR="000160D3">
        <w:t xml:space="preserve"> RSPAL dr. Ramelan Surabaya</w:t>
      </w:r>
      <w:r w:rsidR="00B82E15">
        <w:rPr>
          <w:lang w:val="en-US"/>
        </w:rPr>
        <w:t xml:space="preserve"> (</w:t>
      </w:r>
      <w:r w:rsidR="00B82E15" w:rsidRPr="00B82E15">
        <w:rPr>
          <w:color w:val="4472C4" w:themeColor="accent1"/>
          <w:lang w:val="en-US"/>
        </w:rPr>
        <w:t>FIGURE 1</w:t>
      </w:r>
      <w:r w:rsidR="00B82E15">
        <w:rPr>
          <w:lang w:val="en-US"/>
        </w:rPr>
        <w:t>)</w:t>
      </w:r>
      <w:r w:rsidR="000160D3">
        <w:t>.</w:t>
      </w:r>
    </w:p>
    <w:p w14:paraId="4204B5B5" w14:textId="77777777" w:rsidR="009116D8" w:rsidRPr="00B82E15" w:rsidRDefault="009116D8" w:rsidP="00B82E15">
      <w:pPr>
        <w:jc w:val="both"/>
        <w:rPr>
          <w:rFonts w:ascii="Helvetica" w:hAnsi="Helvetica" w:cs="Helvetica"/>
          <w:sz w:val="18"/>
          <w:szCs w:val="18"/>
        </w:rPr>
      </w:pPr>
    </w:p>
    <w:p w14:paraId="020E53E8" w14:textId="23419418" w:rsidR="00291BD5" w:rsidRPr="009116D8" w:rsidRDefault="00932C45" w:rsidP="00291BD5">
      <w:pPr>
        <w:pStyle w:val="ListParagraph"/>
        <w:numPr>
          <w:ilvl w:val="0"/>
          <w:numId w:val="18"/>
        </w:numPr>
        <w:spacing w:after="0" w:line="240" w:lineRule="exact"/>
        <w:ind w:left="270"/>
        <w:jc w:val="both"/>
        <w:rPr>
          <w:b/>
          <w:i/>
        </w:rPr>
      </w:pPr>
      <w:r w:rsidRPr="00932C45">
        <w:rPr>
          <w:b/>
          <w:i/>
          <w:lang w:val="en-US"/>
        </w:rPr>
        <w:t>CHARACTERISTICS OF PEOPLE WITH GASTRITIS BY AGE</w:t>
      </w:r>
    </w:p>
    <w:p w14:paraId="25DB3164" w14:textId="77777777" w:rsidR="009116D8" w:rsidRPr="009116D8" w:rsidRDefault="009116D8" w:rsidP="009116D8">
      <w:pPr>
        <w:pStyle w:val="ListParagraph"/>
        <w:spacing w:after="0" w:line="240" w:lineRule="exact"/>
        <w:ind w:left="270"/>
        <w:jc w:val="both"/>
        <w:rPr>
          <w:b/>
          <w:i/>
        </w:rPr>
      </w:pPr>
    </w:p>
    <w:p w14:paraId="45E2137A" w14:textId="2DC4FC5F" w:rsidR="00DD4534" w:rsidRDefault="00A73E36" w:rsidP="0034044A">
      <w:pPr>
        <w:spacing w:line="240" w:lineRule="exact"/>
        <w:jc w:val="both"/>
        <w:rPr>
          <w:sz w:val="20"/>
          <w:szCs w:val="20"/>
        </w:rPr>
      </w:pPr>
      <w:r w:rsidRPr="00B82E15">
        <w:rPr>
          <w:bCs/>
          <w:color w:val="2F5496" w:themeColor="accent1" w:themeShade="BF"/>
          <w:sz w:val="20"/>
          <w:szCs w:val="20"/>
        </w:rPr>
        <w:t>TABLE 2</w:t>
      </w:r>
      <w:r w:rsidR="005D7A62">
        <w:rPr>
          <w:b/>
          <w:color w:val="2F5496" w:themeColor="accent1" w:themeShade="BF"/>
          <w:sz w:val="20"/>
          <w:szCs w:val="20"/>
        </w:rPr>
        <w:t xml:space="preserve"> </w:t>
      </w:r>
      <w:r w:rsidR="00CD66CD">
        <w:rPr>
          <w:sz w:val="20"/>
          <w:szCs w:val="20"/>
        </w:rPr>
        <w:t>age data is presented which is categorized into 7 different categories. Thus, the data can be distributed according to the categories provided to determine the frequency of each category. In the age range 51-60 has the highest frequency in patients diagnosed with gastritis with a frequency of 18 patients. The incidence frequency of male gastritis patients is smaller than the frequency of female patients, which is 28 patients</w:t>
      </w:r>
      <w:r w:rsidR="00B82E15">
        <w:rPr>
          <w:sz w:val="20"/>
          <w:szCs w:val="20"/>
        </w:rPr>
        <w:t xml:space="preserve"> (</w:t>
      </w:r>
      <w:r w:rsidR="00B82E15" w:rsidRPr="00B82E15">
        <w:rPr>
          <w:color w:val="4472C4" w:themeColor="accent1"/>
          <w:sz w:val="20"/>
          <w:szCs w:val="20"/>
        </w:rPr>
        <w:t>FIGURE 1</w:t>
      </w:r>
      <w:r w:rsidR="00B82E15">
        <w:rPr>
          <w:sz w:val="20"/>
          <w:szCs w:val="20"/>
        </w:rPr>
        <w:t>).</w:t>
      </w:r>
    </w:p>
    <w:p w14:paraId="79128EDE" w14:textId="77777777" w:rsidR="009116D8" w:rsidRDefault="009116D8" w:rsidP="0034044A">
      <w:pPr>
        <w:spacing w:line="240" w:lineRule="exact"/>
        <w:jc w:val="both"/>
        <w:rPr>
          <w:sz w:val="20"/>
          <w:szCs w:val="20"/>
        </w:rPr>
      </w:pPr>
    </w:p>
    <w:p w14:paraId="2450FD9A" w14:textId="22C9FA2B" w:rsidR="009116D8" w:rsidRPr="00B82E15" w:rsidRDefault="009116D8" w:rsidP="009116D8">
      <w:pPr>
        <w:pStyle w:val="Caption"/>
        <w:spacing w:after="0"/>
        <w:jc w:val="center"/>
        <w:rPr>
          <w:rFonts w:ascii="Helvetica" w:hAnsi="Helvetica" w:cs="Helvetica"/>
          <w:b/>
          <w:i w:val="0"/>
          <w:color w:val="auto"/>
          <w:sz w:val="14"/>
          <w:szCs w:val="14"/>
        </w:rPr>
      </w:pPr>
      <w:r w:rsidRPr="00B82E15">
        <w:rPr>
          <w:rFonts w:ascii="Helvetica" w:hAnsi="Helvetica" w:cs="Helvetica"/>
          <w:b/>
          <w:i w:val="0"/>
          <w:color w:val="2F5496" w:themeColor="accent1" w:themeShade="BF"/>
          <w:sz w:val="14"/>
          <w:szCs w:val="14"/>
        </w:rPr>
        <w:t xml:space="preserve">TABLE </w:t>
      </w:r>
      <w:r w:rsidRPr="00B82E15">
        <w:rPr>
          <w:rFonts w:ascii="Helvetica" w:hAnsi="Helvetica" w:cs="Helvetica"/>
          <w:b/>
          <w:i w:val="0"/>
          <w:color w:val="2F5496" w:themeColor="accent1" w:themeShade="BF"/>
          <w:sz w:val="14"/>
          <w:szCs w:val="14"/>
        </w:rPr>
        <w:fldChar w:fldCharType="begin"/>
      </w:r>
      <w:r w:rsidRPr="00B82E15">
        <w:rPr>
          <w:rFonts w:ascii="Helvetica" w:hAnsi="Helvetica" w:cs="Helvetica"/>
          <w:b/>
          <w:i w:val="0"/>
          <w:color w:val="2F5496" w:themeColor="accent1" w:themeShade="BF"/>
          <w:sz w:val="14"/>
          <w:szCs w:val="14"/>
        </w:rPr>
        <w:instrText xml:space="preserve"> SEQ Tabel \* ARABIC </w:instrText>
      </w:r>
      <w:r w:rsidRPr="00B82E15">
        <w:rPr>
          <w:rFonts w:ascii="Helvetica" w:hAnsi="Helvetica" w:cs="Helvetica"/>
          <w:b/>
          <w:i w:val="0"/>
          <w:color w:val="2F5496" w:themeColor="accent1" w:themeShade="BF"/>
          <w:sz w:val="14"/>
          <w:szCs w:val="14"/>
        </w:rPr>
        <w:fldChar w:fldCharType="separate"/>
      </w:r>
      <w:r w:rsidR="006030B3">
        <w:rPr>
          <w:rFonts w:ascii="Helvetica" w:hAnsi="Helvetica" w:cs="Helvetica"/>
          <w:b/>
          <w:i w:val="0"/>
          <w:noProof/>
          <w:color w:val="2F5496" w:themeColor="accent1" w:themeShade="BF"/>
          <w:sz w:val="14"/>
          <w:szCs w:val="14"/>
        </w:rPr>
        <w:t>2</w:t>
      </w:r>
      <w:r w:rsidRPr="00B82E15">
        <w:rPr>
          <w:rFonts w:ascii="Helvetica" w:hAnsi="Helvetica" w:cs="Helvetica"/>
          <w:b/>
          <w:i w:val="0"/>
          <w:color w:val="2F5496" w:themeColor="accent1" w:themeShade="BF"/>
          <w:sz w:val="14"/>
          <w:szCs w:val="14"/>
        </w:rPr>
        <w:fldChar w:fldCharType="end"/>
      </w:r>
      <w:r w:rsidRPr="00B82E15">
        <w:rPr>
          <w:rFonts w:ascii="Helvetica" w:hAnsi="Helvetica" w:cs="Helvetica"/>
          <w:b/>
          <w:color w:val="auto"/>
          <w:sz w:val="14"/>
          <w:szCs w:val="14"/>
        </w:rPr>
        <w:t xml:space="preserve"> </w:t>
      </w:r>
    </w:p>
    <w:p w14:paraId="521DD24A" w14:textId="77777777" w:rsidR="009116D8" w:rsidRDefault="009116D8" w:rsidP="009116D8">
      <w:pPr>
        <w:pStyle w:val="Caption"/>
        <w:spacing w:after="0"/>
        <w:jc w:val="both"/>
        <w:rPr>
          <w:rFonts w:ascii="Helvetica" w:hAnsi="Helvetica" w:cs="Helvetica"/>
          <w:b/>
          <w:i w:val="0"/>
          <w:color w:val="auto"/>
          <w:sz w:val="14"/>
          <w:szCs w:val="14"/>
        </w:rPr>
      </w:pPr>
      <w:r w:rsidRPr="00B82E15">
        <w:rPr>
          <w:rFonts w:ascii="Helvetica" w:hAnsi="Helvetica" w:cs="Helvetica"/>
          <w:b/>
          <w:i w:val="0"/>
          <w:color w:val="auto"/>
          <w:sz w:val="14"/>
          <w:szCs w:val="14"/>
        </w:rPr>
        <w:t>Demographic Age of Gastritis Patients From Histopathological Examination and Neutrophil Lymphocyte Ratio</w:t>
      </w:r>
      <w:r>
        <w:rPr>
          <w:rFonts w:ascii="Helvetica" w:hAnsi="Helvetica" w:cs="Helvetica"/>
          <w:b/>
          <w:i w:val="0"/>
          <w:color w:val="auto"/>
          <w:sz w:val="14"/>
          <w:szCs w:val="14"/>
        </w:rPr>
        <w:t xml:space="preserve"> (NLR)</w:t>
      </w:r>
      <w:r w:rsidRPr="00B82E15">
        <w:rPr>
          <w:rFonts w:ascii="Helvetica" w:hAnsi="Helvetica" w:cs="Helvetica"/>
          <w:b/>
          <w:i w:val="0"/>
          <w:color w:val="auto"/>
          <w:sz w:val="14"/>
          <w:szCs w:val="14"/>
        </w:rPr>
        <w:t>.</w:t>
      </w:r>
    </w:p>
    <w:p w14:paraId="5D193673" w14:textId="77777777" w:rsidR="009116D8" w:rsidRPr="00132C0C" w:rsidRDefault="009116D8" w:rsidP="009116D8">
      <w:pPr>
        <w:rPr>
          <w:lang w:val="en-ID"/>
        </w:rPr>
      </w:pPr>
    </w:p>
    <w:tbl>
      <w:tblPr>
        <w:tblStyle w:val="LightShading"/>
        <w:tblW w:w="4879" w:type="dxa"/>
        <w:tblInd w:w="0" w:type="dxa"/>
        <w:tblLook w:val="04A0" w:firstRow="1" w:lastRow="0" w:firstColumn="1" w:lastColumn="0" w:noHBand="0" w:noVBand="1"/>
      </w:tblPr>
      <w:tblGrid>
        <w:gridCol w:w="1438"/>
        <w:gridCol w:w="3552"/>
      </w:tblGrid>
      <w:tr w:rsidR="009116D8" w:rsidRPr="00E15198" w14:paraId="34090DA8" w14:textId="77777777" w:rsidTr="00A763C6">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327" w:type="dxa"/>
            <w:vMerge w:val="restart"/>
            <w:noWrap/>
            <w:hideMark/>
          </w:tcPr>
          <w:p w14:paraId="2B4AC441" w14:textId="77777777" w:rsidR="009116D8" w:rsidRPr="00E15198" w:rsidRDefault="009116D8" w:rsidP="00A763C6">
            <w:pPr>
              <w:spacing w:after="0"/>
              <w:jc w:val="center"/>
              <w:rPr>
                <w:rFonts w:ascii="Times New Roman" w:eastAsia="Times New Roman" w:hAnsi="Times New Roman" w:cs="Times New Roman"/>
                <w:color w:val="000000"/>
                <w:sz w:val="20"/>
                <w:szCs w:val="20"/>
              </w:rPr>
            </w:pPr>
            <w:r w:rsidRPr="00E15198">
              <w:rPr>
                <w:rFonts w:ascii="Times New Roman" w:eastAsia="Times New Roman" w:hAnsi="Times New Roman" w:cs="Times New Roman"/>
                <w:color w:val="000000"/>
                <w:sz w:val="20"/>
                <w:szCs w:val="20"/>
              </w:rPr>
              <w:t>Characteristic</w:t>
            </w:r>
          </w:p>
        </w:tc>
        <w:tc>
          <w:tcPr>
            <w:tcW w:w="3552" w:type="dxa"/>
            <w:noWrap/>
            <w:hideMark/>
          </w:tcPr>
          <w:p w14:paraId="6E57A95C" w14:textId="77777777" w:rsidR="009116D8" w:rsidRPr="00E15198" w:rsidRDefault="009116D8" w:rsidP="00A763C6">
            <w:pPr>
              <w:spacing w:after="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E15198">
              <w:rPr>
                <w:rFonts w:ascii="Times New Roman" w:eastAsia="Times New Roman" w:hAnsi="Times New Roman" w:cs="Times New Roman"/>
                <w:color w:val="000000"/>
                <w:sz w:val="20"/>
                <w:szCs w:val="20"/>
              </w:rPr>
              <w:t>Gastritis</w:t>
            </w:r>
          </w:p>
        </w:tc>
      </w:tr>
      <w:tr w:rsidR="009116D8" w:rsidRPr="00E15198" w14:paraId="2FB777AB" w14:textId="77777777" w:rsidTr="00A763C6">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327" w:type="dxa"/>
            <w:vMerge/>
            <w:hideMark/>
          </w:tcPr>
          <w:p w14:paraId="5A5DBAC6" w14:textId="77777777" w:rsidR="009116D8" w:rsidRPr="00E15198" w:rsidRDefault="009116D8" w:rsidP="00A763C6">
            <w:pPr>
              <w:rPr>
                <w:rFonts w:ascii="Times New Roman" w:eastAsia="Times New Roman" w:hAnsi="Times New Roman" w:cs="Times New Roman"/>
                <w:color w:val="000000"/>
                <w:sz w:val="20"/>
                <w:szCs w:val="20"/>
              </w:rPr>
            </w:pPr>
          </w:p>
        </w:tc>
        <w:tc>
          <w:tcPr>
            <w:tcW w:w="3552" w:type="dxa"/>
            <w:vMerge w:val="restart"/>
            <w:noWrap/>
            <w:hideMark/>
          </w:tcPr>
          <w:p w14:paraId="58D3287A" w14:textId="77777777" w:rsidR="009116D8" w:rsidRPr="00E15198" w:rsidRDefault="009116D8" w:rsidP="00A763C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E15198">
              <w:rPr>
                <w:rFonts w:ascii="Times New Roman" w:eastAsia="Times New Roman" w:hAnsi="Times New Roman" w:cs="Times New Roman"/>
                <w:color w:val="000000"/>
                <w:sz w:val="20"/>
                <w:szCs w:val="20"/>
              </w:rPr>
              <w:t xml:space="preserve">Histopathology &amp; </w:t>
            </w:r>
          </w:p>
          <w:p w14:paraId="37C4B566" w14:textId="77777777" w:rsidR="009116D8" w:rsidRPr="00E15198" w:rsidRDefault="009116D8" w:rsidP="00A763C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E15198">
              <w:rPr>
                <w:rFonts w:ascii="Times New Roman" w:eastAsia="Times New Roman" w:hAnsi="Times New Roman" w:cs="Times New Roman"/>
                <w:color w:val="000000"/>
                <w:sz w:val="20"/>
                <w:szCs w:val="20"/>
              </w:rPr>
              <w:t xml:space="preserve">Neutrophil </w:t>
            </w:r>
            <w:proofErr w:type="spellStart"/>
            <w:r w:rsidRPr="00E15198">
              <w:rPr>
                <w:rFonts w:ascii="Times New Roman" w:eastAsia="Times New Roman" w:hAnsi="Times New Roman" w:cs="Times New Roman"/>
                <w:color w:val="000000"/>
                <w:sz w:val="20"/>
                <w:szCs w:val="20"/>
              </w:rPr>
              <w:t>Lymphocyt</w:t>
            </w:r>
            <w:proofErr w:type="spellEnd"/>
            <w:r w:rsidRPr="00E15198">
              <w:rPr>
                <w:rFonts w:ascii="Times New Roman" w:eastAsia="Times New Roman" w:hAnsi="Times New Roman" w:cs="Times New Roman"/>
                <w:color w:val="000000"/>
                <w:sz w:val="20"/>
                <w:szCs w:val="20"/>
              </w:rPr>
              <w:t xml:space="preserve"> Ratio (%) </w:t>
            </w:r>
          </w:p>
          <w:p w14:paraId="106FE52C" w14:textId="77777777" w:rsidR="009116D8" w:rsidRPr="00E15198" w:rsidRDefault="009116D8" w:rsidP="00A763C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E15198">
              <w:rPr>
                <w:rFonts w:ascii="Times New Roman" w:eastAsia="Times New Roman" w:hAnsi="Times New Roman" w:cs="Times New Roman"/>
                <w:color w:val="000000"/>
                <w:sz w:val="20"/>
                <w:szCs w:val="20"/>
              </w:rPr>
              <w:t>n = 60</w:t>
            </w:r>
          </w:p>
        </w:tc>
      </w:tr>
      <w:tr w:rsidR="009116D8" w:rsidRPr="00E15198" w14:paraId="682CCCED" w14:textId="77777777" w:rsidTr="00A763C6">
        <w:trPr>
          <w:trHeight w:val="295"/>
        </w:trPr>
        <w:tc>
          <w:tcPr>
            <w:cnfStyle w:val="001000000000" w:firstRow="0" w:lastRow="0" w:firstColumn="1" w:lastColumn="0" w:oddVBand="0" w:evenVBand="0" w:oddHBand="0" w:evenHBand="0" w:firstRowFirstColumn="0" w:firstRowLastColumn="0" w:lastRowFirstColumn="0" w:lastRowLastColumn="0"/>
            <w:tcW w:w="1327" w:type="dxa"/>
            <w:noWrap/>
          </w:tcPr>
          <w:p w14:paraId="2C7694D1" w14:textId="77777777" w:rsidR="009116D8" w:rsidRPr="00E15198" w:rsidRDefault="009116D8" w:rsidP="00A763C6">
            <w:pPr>
              <w:rPr>
                <w:rFonts w:ascii="Times New Roman" w:eastAsia="Times New Roman" w:hAnsi="Times New Roman" w:cs="Times New Roman"/>
                <w:color w:val="000000"/>
                <w:sz w:val="20"/>
                <w:szCs w:val="20"/>
              </w:rPr>
            </w:pPr>
            <w:proofErr w:type="gramStart"/>
            <w:r>
              <w:rPr>
                <w:rFonts w:ascii="Times New Roman" w:eastAsia="Times New Roman" w:hAnsi="Times New Roman" w:cs="Times New Roman"/>
                <w:color w:val="000000"/>
                <w:sz w:val="20"/>
                <w:szCs w:val="20"/>
              </w:rPr>
              <w:t>Ages :</w:t>
            </w:r>
            <w:proofErr w:type="gramEnd"/>
          </w:p>
        </w:tc>
        <w:tc>
          <w:tcPr>
            <w:tcW w:w="3552" w:type="dxa"/>
            <w:vMerge/>
            <w:noWrap/>
          </w:tcPr>
          <w:p w14:paraId="5C37EA85" w14:textId="77777777" w:rsidR="009116D8" w:rsidRPr="00E15198" w:rsidRDefault="009116D8" w:rsidP="00A763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p>
        </w:tc>
      </w:tr>
      <w:tr w:rsidR="009116D8" w:rsidRPr="00E15198" w14:paraId="55FC05E2" w14:textId="77777777" w:rsidTr="00A763C6">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327" w:type="dxa"/>
            <w:noWrap/>
            <w:hideMark/>
          </w:tcPr>
          <w:p w14:paraId="19BE8D6C" w14:textId="77777777" w:rsidR="009116D8" w:rsidRPr="00E15198" w:rsidRDefault="009116D8" w:rsidP="00A763C6">
            <w:pPr>
              <w:rPr>
                <w:rFonts w:ascii="Times New Roman" w:eastAsia="Times New Roman" w:hAnsi="Times New Roman" w:cs="Times New Roman"/>
                <w:color w:val="000000"/>
                <w:sz w:val="20"/>
                <w:szCs w:val="20"/>
              </w:rPr>
            </w:pPr>
            <w:r w:rsidRPr="00E15198">
              <w:rPr>
                <w:rFonts w:ascii="Times New Roman" w:eastAsia="Times New Roman" w:hAnsi="Times New Roman" w:cs="Times New Roman"/>
                <w:color w:val="000000"/>
                <w:sz w:val="20"/>
                <w:szCs w:val="20"/>
              </w:rPr>
              <w:t>10-20</w:t>
            </w:r>
          </w:p>
        </w:tc>
        <w:tc>
          <w:tcPr>
            <w:tcW w:w="3552" w:type="dxa"/>
            <w:noWrap/>
            <w:hideMark/>
          </w:tcPr>
          <w:p w14:paraId="3E441C3C" w14:textId="77777777" w:rsidR="009116D8" w:rsidRPr="00E15198" w:rsidRDefault="009116D8" w:rsidP="00A763C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E15198">
              <w:rPr>
                <w:rFonts w:ascii="Times New Roman" w:eastAsia="Times New Roman" w:hAnsi="Times New Roman" w:cs="Times New Roman"/>
                <w:b/>
                <w:color w:val="000000"/>
                <w:sz w:val="20"/>
                <w:szCs w:val="20"/>
              </w:rPr>
              <w:t>2</w:t>
            </w:r>
          </w:p>
        </w:tc>
      </w:tr>
      <w:tr w:rsidR="009116D8" w:rsidRPr="00E15198" w14:paraId="6D3B0BDD" w14:textId="77777777" w:rsidTr="00A763C6">
        <w:trPr>
          <w:trHeight w:val="295"/>
        </w:trPr>
        <w:tc>
          <w:tcPr>
            <w:cnfStyle w:val="001000000000" w:firstRow="0" w:lastRow="0" w:firstColumn="1" w:lastColumn="0" w:oddVBand="0" w:evenVBand="0" w:oddHBand="0" w:evenHBand="0" w:firstRowFirstColumn="0" w:firstRowLastColumn="0" w:lastRowFirstColumn="0" w:lastRowLastColumn="0"/>
            <w:tcW w:w="1327" w:type="dxa"/>
            <w:noWrap/>
            <w:hideMark/>
          </w:tcPr>
          <w:p w14:paraId="407A9202" w14:textId="77777777" w:rsidR="009116D8" w:rsidRPr="00E15198" w:rsidRDefault="009116D8" w:rsidP="00A763C6">
            <w:pPr>
              <w:rPr>
                <w:rFonts w:ascii="Times New Roman" w:eastAsia="Times New Roman" w:hAnsi="Times New Roman" w:cs="Times New Roman"/>
                <w:color w:val="000000"/>
                <w:sz w:val="20"/>
                <w:szCs w:val="20"/>
              </w:rPr>
            </w:pPr>
            <w:r w:rsidRPr="00E15198">
              <w:rPr>
                <w:rFonts w:ascii="Times New Roman" w:eastAsia="Times New Roman" w:hAnsi="Times New Roman" w:cs="Times New Roman"/>
                <w:color w:val="000000"/>
                <w:sz w:val="20"/>
                <w:szCs w:val="20"/>
              </w:rPr>
              <w:t>21-30</w:t>
            </w:r>
          </w:p>
        </w:tc>
        <w:tc>
          <w:tcPr>
            <w:tcW w:w="3552" w:type="dxa"/>
            <w:noWrap/>
            <w:hideMark/>
          </w:tcPr>
          <w:p w14:paraId="39402793" w14:textId="77777777" w:rsidR="009116D8" w:rsidRPr="00E15198" w:rsidRDefault="009116D8" w:rsidP="00A763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E15198">
              <w:rPr>
                <w:rFonts w:ascii="Times New Roman" w:eastAsia="Times New Roman" w:hAnsi="Times New Roman" w:cs="Times New Roman"/>
                <w:b/>
                <w:color w:val="000000"/>
                <w:sz w:val="20"/>
                <w:szCs w:val="20"/>
              </w:rPr>
              <w:t>4</w:t>
            </w:r>
          </w:p>
        </w:tc>
      </w:tr>
      <w:tr w:rsidR="009116D8" w:rsidRPr="00E15198" w14:paraId="088437AC" w14:textId="77777777" w:rsidTr="00A763C6">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327" w:type="dxa"/>
            <w:noWrap/>
            <w:hideMark/>
          </w:tcPr>
          <w:p w14:paraId="0D4318D8" w14:textId="77777777" w:rsidR="009116D8" w:rsidRPr="00E15198" w:rsidRDefault="009116D8" w:rsidP="00A763C6">
            <w:pPr>
              <w:rPr>
                <w:rFonts w:ascii="Times New Roman" w:eastAsia="Times New Roman" w:hAnsi="Times New Roman" w:cs="Times New Roman"/>
                <w:color w:val="000000"/>
                <w:sz w:val="20"/>
                <w:szCs w:val="20"/>
              </w:rPr>
            </w:pPr>
            <w:r w:rsidRPr="00E15198">
              <w:rPr>
                <w:rFonts w:ascii="Times New Roman" w:eastAsia="Times New Roman" w:hAnsi="Times New Roman" w:cs="Times New Roman"/>
                <w:color w:val="000000"/>
                <w:sz w:val="20"/>
                <w:szCs w:val="20"/>
              </w:rPr>
              <w:t>31-40</w:t>
            </w:r>
          </w:p>
        </w:tc>
        <w:tc>
          <w:tcPr>
            <w:tcW w:w="3552" w:type="dxa"/>
            <w:noWrap/>
            <w:hideMark/>
          </w:tcPr>
          <w:p w14:paraId="621CDE2C" w14:textId="77777777" w:rsidR="009116D8" w:rsidRPr="00E15198" w:rsidRDefault="009116D8" w:rsidP="00A763C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E15198">
              <w:rPr>
                <w:rFonts w:ascii="Times New Roman" w:eastAsia="Times New Roman" w:hAnsi="Times New Roman" w:cs="Times New Roman"/>
                <w:b/>
                <w:color w:val="000000"/>
                <w:sz w:val="20"/>
                <w:szCs w:val="20"/>
              </w:rPr>
              <w:t>8</w:t>
            </w:r>
          </w:p>
        </w:tc>
      </w:tr>
      <w:tr w:rsidR="009116D8" w:rsidRPr="00E15198" w14:paraId="33F8B0E6" w14:textId="77777777" w:rsidTr="00A763C6">
        <w:trPr>
          <w:trHeight w:val="295"/>
        </w:trPr>
        <w:tc>
          <w:tcPr>
            <w:cnfStyle w:val="001000000000" w:firstRow="0" w:lastRow="0" w:firstColumn="1" w:lastColumn="0" w:oddVBand="0" w:evenVBand="0" w:oddHBand="0" w:evenHBand="0" w:firstRowFirstColumn="0" w:firstRowLastColumn="0" w:lastRowFirstColumn="0" w:lastRowLastColumn="0"/>
            <w:tcW w:w="1327" w:type="dxa"/>
            <w:noWrap/>
            <w:hideMark/>
          </w:tcPr>
          <w:p w14:paraId="5358745C" w14:textId="77777777" w:rsidR="009116D8" w:rsidRPr="00E15198" w:rsidRDefault="009116D8" w:rsidP="00A763C6">
            <w:pPr>
              <w:rPr>
                <w:rFonts w:ascii="Times New Roman" w:eastAsia="Times New Roman" w:hAnsi="Times New Roman" w:cs="Times New Roman"/>
                <w:color w:val="000000"/>
                <w:sz w:val="20"/>
                <w:szCs w:val="20"/>
              </w:rPr>
            </w:pPr>
            <w:r w:rsidRPr="00E15198">
              <w:rPr>
                <w:rFonts w:ascii="Times New Roman" w:eastAsia="Times New Roman" w:hAnsi="Times New Roman" w:cs="Times New Roman"/>
                <w:color w:val="000000"/>
                <w:sz w:val="20"/>
                <w:szCs w:val="20"/>
              </w:rPr>
              <w:t>41-50</w:t>
            </w:r>
          </w:p>
        </w:tc>
        <w:tc>
          <w:tcPr>
            <w:tcW w:w="3552" w:type="dxa"/>
            <w:noWrap/>
            <w:hideMark/>
          </w:tcPr>
          <w:p w14:paraId="0374D414" w14:textId="77777777" w:rsidR="009116D8" w:rsidRPr="00E15198" w:rsidRDefault="009116D8" w:rsidP="00A763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E15198">
              <w:rPr>
                <w:rFonts w:ascii="Times New Roman" w:eastAsia="Times New Roman" w:hAnsi="Times New Roman" w:cs="Times New Roman"/>
                <w:b/>
                <w:color w:val="000000"/>
                <w:sz w:val="20"/>
                <w:szCs w:val="20"/>
              </w:rPr>
              <w:t>6</w:t>
            </w:r>
          </w:p>
        </w:tc>
      </w:tr>
      <w:tr w:rsidR="009116D8" w:rsidRPr="00E15198" w14:paraId="2E26CD7F" w14:textId="77777777" w:rsidTr="00A763C6">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327" w:type="dxa"/>
            <w:noWrap/>
            <w:hideMark/>
          </w:tcPr>
          <w:p w14:paraId="66A732C8" w14:textId="77777777" w:rsidR="009116D8" w:rsidRPr="00E15198" w:rsidRDefault="009116D8" w:rsidP="00A763C6">
            <w:pPr>
              <w:rPr>
                <w:rFonts w:ascii="Times New Roman" w:eastAsia="Times New Roman" w:hAnsi="Times New Roman" w:cs="Times New Roman"/>
                <w:color w:val="000000"/>
                <w:sz w:val="20"/>
                <w:szCs w:val="20"/>
              </w:rPr>
            </w:pPr>
            <w:r w:rsidRPr="00E15198">
              <w:rPr>
                <w:rFonts w:ascii="Times New Roman" w:eastAsia="Times New Roman" w:hAnsi="Times New Roman" w:cs="Times New Roman"/>
                <w:color w:val="000000"/>
                <w:sz w:val="20"/>
                <w:szCs w:val="20"/>
              </w:rPr>
              <w:t>51-60</w:t>
            </w:r>
          </w:p>
        </w:tc>
        <w:tc>
          <w:tcPr>
            <w:tcW w:w="3552" w:type="dxa"/>
            <w:noWrap/>
            <w:hideMark/>
          </w:tcPr>
          <w:p w14:paraId="37540A95" w14:textId="77777777" w:rsidR="009116D8" w:rsidRPr="00E15198" w:rsidRDefault="009116D8" w:rsidP="00A763C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E15198">
              <w:rPr>
                <w:rFonts w:ascii="Times New Roman" w:eastAsia="Times New Roman" w:hAnsi="Times New Roman" w:cs="Times New Roman"/>
                <w:b/>
                <w:color w:val="000000"/>
                <w:sz w:val="20"/>
                <w:szCs w:val="20"/>
              </w:rPr>
              <w:t>18</w:t>
            </w:r>
          </w:p>
        </w:tc>
      </w:tr>
      <w:tr w:rsidR="009116D8" w:rsidRPr="00E15198" w14:paraId="2BFAB4C1" w14:textId="77777777" w:rsidTr="00A763C6">
        <w:trPr>
          <w:trHeight w:val="295"/>
        </w:trPr>
        <w:tc>
          <w:tcPr>
            <w:cnfStyle w:val="001000000000" w:firstRow="0" w:lastRow="0" w:firstColumn="1" w:lastColumn="0" w:oddVBand="0" w:evenVBand="0" w:oddHBand="0" w:evenHBand="0" w:firstRowFirstColumn="0" w:firstRowLastColumn="0" w:lastRowFirstColumn="0" w:lastRowLastColumn="0"/>
            <w:tcW w:w="1327" w:type="dxa"/>
            <w:noWrap/>
            <w:hideMark/>
          </w:tcPr>
          <w:p w14:paraId="21A65309" w14:textId="77777777" w:rsidR="009116D8" w:rsidRPr="00E15198" w:rsidRDefault="009116D8" w:rsidP="00A763C6">
            <w:pPr>
              <w:rPr>
                <w:rFonts w:ascii="Times New Roman" w:eastAsia="Times New Roman" w:hAnsi="Times New Roman" w:cs="Times New Roman"/>
                <w:color w:val="000000"/>
                <w:sz w:val="20"/>
                <w:szCs w:val="20"/>
              </w:rPr>
            </w:pPr>
            <w:r w:rsidRPr="00E15198">
              <w:rPr>
                <w:rFonts w:ascii="Times New Roman" w:eastAsia="Times New Roman" w:hAnsi="Times New Roman" w:cs="Times New Roman"/>
                <w:color w:val="000000"/>
                <w:sz w:val="20"/>
                <w:szCs w:val="20"/>
              </w:rPr>
              <w:t>61-70</w:t>
            </w:r>
          </w:p>
        </w:tc>
        <w:tc>
          <w:tcPr>
            <w:tcW w:w="3552" w:type="dxa"/>
            <w:noWrap/>
            <w:hideMark/>
          </w:tcPr>
          <w:p w14:paraId="04CC4834" w14:textId="77777777" w:rsidR="009116D8" w:rsidRPr="00E15198" w:rsidRDefault="009116D8" w:rsidP="00A763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E15198">
              <w:rPr>
                <w:rFonts w:ascii="Times New Roman" w:eastAsia="Times New Roman" w:hAnsi="Times New Roman" w:cs="Times New Roman"/>
                <w:b/>
                <w:color w:val="000000"/>
                <w:sz w:val="20"/>
                <w:szCs w:val="20"/>
              </w:rPr>
              <w:t>11</w:t>
            </w:r>
          </w:p>
        </w:tc>
      </w:tr>
      <w:tr w:rsidR="009116D8" w:rsidRPr="00E15198" w14:paraId="04C2125F" w14:textId="77777777" w:rsidTr="00A763C6">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327" w:type="dxa"/>
            <w:noWrap/>
            <w:hideMark/>
          </w:tcPr>
          <w:p w14:paraId="4BF51CFD" w14:textId="77777777" w:rsidR="009116D8" w:rsidRPr="00E15198" w:rsidRDefault="009116D8" w:rsidP="00A763C6">
            <w:pPr>
              <w:rPr>
                <w:rFonts w:ascii="Times New Roman" w:eastAsia="Times New Roman" w:hAnsi="Times New Roman" w:cs="Times New Roman"/>
                <w:color w:val="000000"/>
                <w:sz w:val="20"/>
                <w:szCs w:val="20"/>
              </w:rPr>
            </w:pPr>
            <w:r w:rsidRPr="00E15198">
              <w:rPr>
                <w:rFonts w:ascii="Times New Roman" w:eastAsia="Times New Roman" w:hAnsi="Times New Roman" w:cs="Times New Roman"/>
                <w:color w:val="000000"/>
                <w:sz w:val="20"/>
                <w:szCs w:val="20"/>
              </w:rPr>
              <w:t>71-80</w:t>
            </w:r>
          </w:p>
        </w:tc>
        <w:tc>
          <w:tcPr>
            <w:tcW w:w="3552" w:type="dxa"/>
            <w:noWrap/>
            <w:hideMark/>
          </w:tcPr>
          <w:p w14:paraId="1565FDB0" w14:textId="77777777" w:rsidR="009116D8" w:rsidRPr="00E15198" w:rsidRDefault="009116D8" w:rsidP="00A763C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E15198">
              <w:rPr>
                <w:rFonts w:ascii="Times New Roman" w:eastAsia="Times New Roman" w:hAnsi="Times New Roman" w:cs="Times New Roman"/>
                <w:b/>
                <w:color w:val="000000"/>
                <w:sz w:val="20"/>
                <w:szCs w:val="20"/>
              </w:rPr>
              <w:t>7</w:t>
            </w:r>
          </w:p>
        </w:tc>
      </w:tr>
      <w:tr w:rsidR="009116D8" w:rsidRPr="00E15198" w14:paraId="44DFC515" w14:textId="77777777" w:rsidTr="00A763C6">
        <w:trPr>
          <w:trHeight w:val="295"/>
        </w:trPr>
        <w:tc>
          <w:tcPr>
            <w:cnfStyle w:val="001000000000" w:firstRow="0" w:lastRow="0" w:firstColumn="1" w:lastColumn="0" w:oddVBand="0" w:evenVBand="0" w:oddHBand="0" w:evenHBand="0" w:firstRowFirstColumn="0" w:firstRowLastColumn="0" w:lastRowFirstColumn="0" w:lastRowLastColumn="0"/>
            <w:tcW w:w="1327" w:type="dxa"/>
            <w:noWrap/>
            <w:hideMark/>
          </w:tcPr>
          <w:p w14:paraId="24477A4A" w14:textId="77777777" w:rsidR="009116D8" w:rsidRPr="00E15198" w:rsidRDefault="009116D8" w:rsidP="00A763C6">
            <w:pPr>
              <w:rPr>
                <w:rFonts w:ascii="Times New Roman" w:eastAsia="Times New Roman" w:hAnsi="Times New Roman" w:cs="Times New Roman"/>
                <w:color w:val="000000"/>
                <w:sz w:val="20"/>
                <w:szCs w:val="20"/>
              </w:rPr>
            </w:pPr>
            <w:r w:rsidRPr="00E15198">
              <w:rPr>
                <w:rFonts w:ascii="Times New Roman" w:eastAsia="Times New Roman" w:hAnsi="Times New Roman" w:cs="Times New Roman"/>
                <w:color w:val="000000"/>
                <w:sz w:val="20"/>
                <w:szCs w:val="20"/>
              </w:rPr>
              <w:t>81-90</w:t>
            </w:r>
          </w:p>
        </w:tc>
        <w:tc>
          <w:tcPr>
            <w:tcW w:w="3552" w:type="dxa"/>
            <w:noWrap/>
            <w:hideMark/>
          </w:tcPr>
          <w:p w14:paraId="652B3010" w14:textId="77777777" w:rsidR="009116D8" w:rsidRPr="00E15198" w:rsidRDefault="009116D8" w:rsidP="00A763C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rPr>
            </w:pPr>
            <w:r w:rsidRPr="00E15198">
              <w:rPr>
                <w:rFonts w:ascii="Times New Roman" w:eastAsia="Times New Roman" w:hAnsi="Times New Roman" w:cs="Times New Roman"/>
                <w:b/>
                <w:color w:val="000000"/>
                <w:sz w:val="20"/>
                <w:szCs w:val="20"/>
              </w:rPr>
              <w:t>4</w:t>
            </w:r>
          </w:p>
        </w:tc>
      </w:tr>
      <w:tr w:rsidR="009116D8" w:rsidRPr="00E15198" w14:paraId="39ACBBDB" w14:textId="77777777" w:rsidTr="00A763C6">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327" w:type="dxa"/>
            <w:noWrap/>
            <w:hideMark/>
          </w:tcPr>
          <w:p w14:paraId="5798865A" w14:textId="77777777" w:rsidR="009116D8" w:rsidRPr="00E15198" w:rsidRDefault="009116D8" w:rsidP="00A763C6">
            <w:pPr>
              <w:rPr>
                <w:rFonts w:ascii="Times New Roman" w:eastAsia="Times New Roman" w:hAnsi="Times New Roman" w:cs="Times New Roman"/>
                <w:color w:val="000000"/>
                <w:sz w:val="20"/>
                <w:szCs w:val="20"/>
              </w:rPr>
            </w:pPr>
            <w:r w:rsidRPr="00E15198">
              <w:rPr>
                <w:rFonts w:ascii="Times New Roman" w:eastAsia="Times New Roman" w:hAnsi="Times New Roman" w:cs="Times New Roman"/>
                <w:color w:val="000000"/>
                <w:sz w:val="20"/>
                <w:szCs w:val="20"/>
              </w:rPr>
              <w:t>Total</w:t>
            </w:r>
          </w:p>
        </w:tc>
        <w:tc>
          <w:tcPr>
            <w:tcW w:w="3552" w:type="dxa"/>
            <w:noWrap/>
            <w:hideMark/>
          </w:tcPr>
          <w:p w14:paraId="11670EBA" w14:textId="77777777" w:rsidR="009116D8" w:rsidRPr="00E15198" w:rsidRDefault="009116D8" w:rsidP="00A763C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sz w:val="20"/>
                <w:szCs w:val="20"/>
              </w:rPr>
            </w:pPr>
            <w:r w:rsidRPr="00E15198">
              <w:rPr>
                <w:rFonts w:ascii="Times New Roman" w:eastAsia="Times New Roman" w:hAnsi="Times New Roman" w:cs="Times New Roman"/>
                <w:b/>
                <w:color w:val="000000"/>
                <w:sz w:val="20"/>
                <w:szCs w:val="20"/>
              </w:rPr>
              <w:t>60</w:t>
            </w:r>
          </w:p>
        </w:tc>
      </w:tr>
    </w:tbl>
    <w:p w14:paraId="137FAE5E" w14:textId="0AF4EC1E" w:rsidR="009116D8" w:rsidRDefault="009116D8" w:rsidP="0034044A">
      <w:pPr>
        <w:spacing w:line="240" w:lineRule="exact"/>
        <w:jc w:val="both"/>
        <w:rPr>
          <w:sz w:val="20"/>
          <w:szCs w:val="20"/>
        </w:rPr>
      </w:pPr>
    </w:p>
    <w:p w14:paraId="71130261" w14:textId="77777777" w:rsidR="009116D8" w:rsidRDefault="009116D8" w:rsidP="0034044A">
      <w:pPr>
        <w:spacing w:line="240" w:lineRule="exact"/>
        <w:jc w:val="both"/>
        <w:rPr>
          <w:sz w:val="20"/>
          <w:szCs w:val="20"/>
        </w:rPr>
      </w:pPr>
    </w:p>
    <w:p w14:paraId="5F80C7DA" w14:textId="036A311D" w:rsidR="00451137" w:rsidRDefault="00451137" w:rsidP="00451137">
      <w:pPr>
        <w:rPr>
          <w:sz w:val="20"/>
          <w:szCs w:val="20"/>
        </w:rPr>
      </w:pPr>
      <w:r>
        <w:rPr>
          <w:noProof/>
        </w:rPr>
        <w:drawing>
          <wp:inline distT="0" distB="0" distL="0" distR="0" wp14:anchorId="0B98EE0A" wp14:editId="255259A4">
            <wp:extent cx="3060700" cy="2621632"/>
            <wp:effectExtent l="0" t="0" r="6350" b="762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BEADA23" w14:textId="47AF5723" w:rsidR="00B82E15" w:rsidRPr="00132C0C" w:rsidRDefault="00B82E15" w:rsidP="00132C0C">
      <w:pPr>
        <w:jc w:val="both"/>
        <w:rPr>
          <w:rFonts w:ascii="Helvetica" w:hAnsi="Helvetica" w:cs="Helvetica"/>
          <w:sz w:val="18"/>
          <w:szCs w:val="18"/>
        </w:rPr>
      </w:pPr>
      <w:r w:rsidRPr="00B82E15">
        <w:rPr>
          <w:rFonts w:ascii="Helvetica" w:hAnsi="Helvetica" w:cs="Helvetica"/>
          <w:b/>
          <w:color w:val="4472C4" w:themeColor="accent1"/>
          <w:sz w:val="14"/>
          <w:szCs w:val="14"/>
        </w:rPr>
        <w:t xml:space="preserve">FIGURE </w:t>
      </w:r>
      <w:r>
        <w:rPr>
          <w:rFonts w:ascii="Helvetica" w:hAnsi="Helvetica" w:cs="Helvetica"/>
          <w:b/>
          <w:color w:val="4472C4" w:themeColor="accent1"/>
          <w:sz w:val="14"/>
          <w:szCs w:val="14"/>
        </w:rPr>
        <w:t>2</w:t>
      </w:r>
      <w:r w:rsidRPr="00B82E15">
        <w:rPr>
          <w:rFonts w:ascii="Helvetica" w:hAnsi="Helvetica" w:cs="Helvetica"/>
          <w:b/>
          <w:color w:val="4472C4" w:themeColor="accent1"/>
          <w:sz w:val="14"/>
          <w:szCs w:val="14"/>
        </w:rPr>
        <w:t xml:space="preserve">. </w:t>
      </w:r>
      <w:r w:rsidRPr="00B82E15">
        <w:rPr>
          <w:rFonts w:ascii="Helvetica" w:hAnsi="Helvetica" w:cs="Helvetica"/>
          <w:b/>
          <w:sz w:val="14"/>
          <w:szCs w:val="14"/>
        </w:rPr>
        <w:t xml:space="preserve">Frequency Interval Age of Gastritis Patients </w:t>
      </w:r>
      <w:proofErr w:type="gramStart"/>
      <w:r w:rsidRPr="00B82E15">
        <w:rPr>
          <w:rFonts w:ascii="Helvetica" w:hAnsi="Helvetica" w:cs="Helvetica"/>
          <w:b/>
          <w:sz w:val="14"/>
          <w:szCs w:val="14"/>
        </w:rPr>
        <w:t>From</w:t>
      </w:r>
      <w:proofErr w:type="gramEnd"/>
      <w:r w:rsidRPr="00B82E15">
        <w:rPr>
          <w:rFonts w:ascii="Helvetica" w:hAnsi="Helvetica" w:cs="Helvetica"/>
          <w:b/>
          <w:sz w:val="14"/>
          <w:szCs w:val="14"/>
        </w:rPr>
        <w:t xml:space="preserve"> Histopathological Examination and Neutrophil Lymphocyte Ratio Examination.</w:t>
      </w:r>
      <w:r w:rsidRPr="00B82E15">
        <w:rPr>
          <w:rFonts w:ascii="Helvetica" w:hAnsi="Helvetica" w:cs="Helvetica"/>
          <w:sz w:val="18"/>
          <w:szCs w:val="18"/>
        </w:rPr>
        <w:t xml:space="preserve"> </w:t>
      </w:r>
    </w:p>
    <w:p w14:paraId="11CD5B98" w14:textId="77777777" w:rsidR="00B82E15" w:rsidRDefault="00B82E15" w:rsidP="00451137">
      <w:pPr>
        <w:rPr>
          <w:sz w:val="20"/>
          <w:szCs w:val="20"/>
        </w:rPr>
      </w:pPr>
    </w:p>
    <w:p w14:paraId="3B1220A1" w14:textId="51A97D6D" w:rsidR="00B82E15" w:rsidRPr="00B82E15" w:rsidRDefault="00B82E15" w:rsidP="00B82E15">
      <w:pPr>
        <w:pStyle w:val="ListParagraph"/>
        <w:numPr>
          <w:ilvl w:val="0"/>
          <w:numId w:val="18"/>
        </w:numPr>
        <w:ind w:left="270" w:hanging="270"/>
        <w:jc w:val="both"/>
        <w:rPr>
          <w:rFonts w:ascii="Helvetica" w:hAnsi="Helvetica" w:cs="Helvetica"/>
          <w:b/>
          <w:i/>
          <w:sz w:val="18"/>
          <w:szCs w:val="18"/>
        </w:rPr>
      </w:pPr>
      <w:r w:rsidRPr="00B82E15">
        <w:rPr>
          <w:rFonts w:ascii="Helvetica" w:hAnsi="Helvetica" w:cs="Helvetica"/>
          <w:b/>
          <w:i/>
          <w:sz w:val="18"/>
          <w:szCs w:val="18"/>
          <w:lang w:val="en-US"/>
        </w:rPr>
        <w:t>HISTOPATHOLOGICAL CLASSIFICATION OF HELICOBACTER PYLORI BACTERIA DENSITY IN GASTER TISSUE OF PEOPLE WITH GASTRITIS USING THE UPDATED SYDNEY SYSTEM</w:t>
      </w:r>
    </w:p>
    <w:p w14:paraId="62B89FF3" w14:textId="77777777" w:rsidR="009116D8" w:rsidRDefault="009116D8" w:rsidP="009116D8">
      <w:pPr>
        <w:jc w:val="both"/>
        <w:rPr>
          <w:sz w:val="20"/>
          <w:szCs w:val="20"/>
        </w:rPr>
      </w:pPr>
      <w:r w:rsidRPr="00303ACB">
        <w:rPr>
          <w:sz w:val="20"/>
          <w:szCs w:val="20"/>
        </w:rPr>
        <w:t>Based on</w:t>
      </w:r>
      <w:r>
        <w:rPr>
          <w:sz w:val="20"/>
          <w:szCs w:val="20"/>
        </w:rPr>
        <w:t xml:space="preserve"> </w:t>
      </w:r>
      <w:r w:rsidRPr="00B82E15">
        <w:rPr>
          <w:bCs/>
          <w:color w:val="4472C4" w:themeColor="accent1"/>
          <w:sz w:val="20"/>
          <w:szCs w:val="20"/>
        </w:rPr>
        <w:t>TABLE 3</w:t>
      </w:r>
      <w:r>
        <w:rPr>
          <w:b/>
          <w:color w:val="4472C4" w:themeColor="accent1"/>
          <w:sz w:val="20"/>
          <w:szCs w:val="20"/>
        </w:rPr>
        <w:t xml:space="preserve"> </w:t>
      </w:r>
      <w:r>
        <w:rPr>
          <w:sz w:val="20"/>
          <w:szCs w:val="20"/>
        </w:rPr>
        <w:t xml:space="preserve">Histopathological classification of gastric tissue in this study was adjusted using </w:t>
      </w:r>
      <w:r w:rsidRPr="00082E72">
        <w:rPr>
          <w:i/>
          <w:sz w:val="20"/>
          <w:szCs w:val="20"/>
        </w:rPr>
        <w:t>The Updated Sydney System</w:t>
      </w:r>
      <w:r>
        <w:rPr>
          <w:sz w:val="20"/>
          <w:szCs w:val="20"/>
        </w:rPr>
        <w:t xml:space="preserve"> by </w:t>
      </w:r>
      <w:r>
        <w:rPr>
          <w:sz w:val="20"/>
          <w:szCs w:val="20"/>
        </w:rPr>
        <w:fldChar w:fldCharType="begin" w:fldLock="1"/>
      </w:r>
      <w:r>
        <w:rPr>
          <w:sz w:val="20"/>
          <w:szCs w:val="20"/>
        </w:rPr>
        <w:instrText>ADDIN CSL_CITATION {"citationItems":[{"id":"ITEM-1","itemData":{"DOI":"10.1097/00000478-199610000-00001","PMID":"8827022","abstract":"The Sydney System for the classification of gastritis emphasized the importance of combining topographical, morphological, and etiological information into a schema that would help to generate reproducible and clinically useful diagnoses. To reappraise the Sydney System 4 years after its introduction, a group of gastrointestinal pathologists from various parts of the world met in Houston, Texas, in September 1994. The aims of the workshop were (a) to establish an agreed terminology of gastritis; (b) to identify, define, and attempt to resolve some of the problems associated with the Sydney System. This article introduces the Sydney System as it was revised at the Houston Gastritis Workshop and represents the consensus of the participants. Overall, the principles and grading of the Sydney System were only slightly modified, the grading being aided by the provision of a visual analogue scale. The terminology of the final classification has been improved to emphasize the distinction between the atrophic and nonatrophic stomach; the names used for each entity were selected because they are generally acceptable to both pathologists and gastroenterologists. In addition to the main categories and atrophic and nonatrophic gastritis, the special or distinctive forms are described and their respective diagnostic criteria are provided. The article includes practical guidelines for optimal biopsy sampling of the stomach, for the use of the visual analogue scales for grading the histopathologic features, and for the formulation of a comprehensive standardized diagnosis. A glossary of gastritis-related terms as used in this article is provided","author":[{"dropping-particle":"","family":"Dixon MF, Genta RM, Yardley JH","given":"Correa P","non-dropping-particle":"","parse-names":false,"suffix":""}],"id":"ITEM-1","issue":"10","issued":{"date-parts":[["1996"]]},"page":"81","title":"Classification and grading of gastritis. The updated Sydney System","type":"article-journal","volume":"20"},"uris":["http://www.mendeley.com/documents/?uuid=e4c997c7-93d1-429f-bdeb-37e56a58e069"]}],"mendeley":{"formattedCitation":"[18]","manualFormatting":"Dixon dkk","plainTextFormattedCitation":"[18]","previouslyFormattedCitation":"[18]"},"properties":{"noteIndex":0},"schema":"https://github.com/citation-style-language/schema/raw/master/csl-citation.json"}</w:instrText>
      </w:r>
      <w:r>
        <w:rPr>
          <w:sz w:val="20"/>
          <w:szCs w:val="20"/>
        </w:rPr>
        <w:fldChar w:fldCharType="separate"/>
      </w:r>
      <w:r>
        <w:rPr>
          <w:noProof/>
          <w:sz w:val="20"/>
          <w:szCs w:val="20"/>
        </w:rPr>
        <w:t>Dixon et al</w:t>
      </w:r>
      <w:r>
        <w:rPr>
          <w:sz w:val="20"/>
          <w:szCs w:val="20"/>
        </w:rPr>
        <w:fldChar w:fldCharType="end"/>
      </w:r>
      <w:r>
        <w:rPr>
          <w:sz w:val="20"/>
          <w:szCs w:val="20"/>
        </w:rPr>
        <w:t xml:space="preserve"> using normal (0) i.e. no </w:t>
      </w:r>
      <w:r w:rsidRPr="005D7A62">
        <w:rPr>
          <w:i/>
          <w:sz w:val="20"/>
          <w:szCs w:val="20"/>
        </w:rPr>
        <w:t>Helicobacter Pylori</w:t>
      </w:r>
      <w:r>
        <w:rPr>
          <w:sz w:val="20"/>
          <w:szCs w:val="20"/>
        </w:rPr>
        <w:t xml:space="preserve"> anywhere on biopsy, mild (1) i.e. only a few </w:t>
      </w:r>
      <w:r w:rsidRPr="005D7A62">
        <w:rPr>
          <w:i/>
          <w:sz w:val="20"/>
          <w:szCs w:val="20"/>
        </w:rPr>
        <w:t>Helicobacter Pylori</w:t>
      </w:r>
      <w:r>
        <w:rPr>
          <w:sz w:val="20"/>
          <w:szCs w:val="20"/>
        </w:rPr>
        <w:t xml:space="preserve"> in single or multiple foci, moderate (2) i.e. Many </w:t>
      </w:r>
      <w:r w:rsidRPr="005D7A62">
        <w:rPr>
          <w:i/>
          <w:sz w:val="20"/>
          <w:szCs w:val="20"/>
        </w:rPr>
        <w:t>Helicobacter Pylori</w:t>
      </w:r>
      <w:r>
        <w:rPr>
          <w:sz w:val="20"/>
          <w:szCs w:val="20"/>
        </w:rPr>
        <w:t xml:space="preserve"> seen in separate foci areas, severe (3) that is &gt; 50% of the surface area covered by </w:t>
      </w:r>
      <w:r w:rsidRPr="005D7A62">
        <w:rPr>
          <w:i/>
          <w:sz w:val="20"/>
          <w:szCs w:val="20"/>
        </w:rPr>
        <w:t>Helicobacter Pylori</w:t>
      </w:r>
      <w:r>
        <w:rPr>
          <w:sz w:val="20"/>
          <w:szCs w:val="20"/>
        </w:rPr>
        <w:t xml:space="preserve"> (</w:t>
      </w:r>
      <w:r w:rsidRPr="00B82E15">
        <w:rPr>
          <w:color w:val="4472C4" w:themeColor="accent1"/>
          <w:sz w:val="20"/>
          <w:szCs w:val="20"/>
        </w:rPr>
        <w:t>FIGURE 3</w:t>
      </w:r>
      <w:r>
        <w:rPr>
          <w:sz w:val="20"/>
          <w:szCs w:val="20"/>
        </w:rPr>
        <w:t>).</w:t>
      </w:r>
    </w:p>
    <w:p w14:paraId="3F81697C" w14:textId="77777777" w:rsidR="009116D8" w:rsidRPr="009116D8" w:rsidRDefault="009116D8" w:rsidP="00B82E15">
      <w:pPr>
        <w:jc w:val="both"/>
        <w:rPr>
          <w:rFonts w:ascii="Helvetica" w:hAnsi="Helvetica" w:cs="Helvetica"/>
          <w:bCs/>
          <w:iCs/>
          <w:sz w:val="18"/>
          <w:szCs w:val="18"/>
        </w:rPr>
      </w:pPr>
    </w:p>
    <w:p w14:paraId="7E8B82B7" w14:textId="0034ADE0" w:rsidR="00303ACB" w:rsidRPr="00B82E15" w:rsidRDefault="00303ACB" w:rsidP="00B82E15">
      <w:pPr>
        <w:pStyle w:val="Caption"/>
        <w:spacing w:after="0"/>
        <w:jc w:val="center"/>
        <w:rPr>
          <w:rFonts w:ascii="Helvetica" w:hAnsi="Helvetica" w:cs="Helvetica"/>
          <w:i w:val="0"/>
          <w:color w:val="auto"/>
          <w:sz w:val="14"/>
          <w:szCs w:val="14"/>
          <w:lang w:val="en-US"/>
        </w:rPr>
      </w:pPr>
      <w:r w:rsidRPr="00B82E15">
        <w:rPr>
          <w:rFonts w:ascii="Helvetica" w:hAnsi="Helvetica" w:cs="Helvetica"/>
          <w:b/>
          <w:i w:val="0"/>
          <w:color w:val="0070C0"/>
          <w:sz w:val="14"/>
          <w:szCs w:val="14"/>
        </w:rPr>
        <w:t>TABLE</w:t>
      </w:r>
      <w:r w:rsidR="005D7A62" w:rsidRPr="00B82E15">
        <w:rPr>
          <w:rFonts w:ascii="Helvetica" w:hAnsi="Helvetica" w:cs="Helvetica"/>
          <w:b/>
          <w:i w:val="0"/>
          <w:color w:val="0070C0"/>
          <w:sz w:val="14"/>
          <w:szCs w:val="14"/>
        </w:rPr>
        <w:t xml:space="preserve"> </w:t>
      </w:r>
      <w:r w:rsidR="00921B57" w:rsidRPr="00B82E15">
        <w:rPr>
          <w:rFonts w:ascii="Helvetica" w:hAnsi="Helvetica" w:cs="Helvetica"/>
          <w:b/>
          <w:i w:val="0"/>
          <w:color w:val="0070C0"/>
          <w:sz w:val="14"/>
          <w:szCs w:val="14"/>
        </w:rPr>
        <w:fldChar w:fldCharType="begin"/>
      </w:r>
      <w:r w:rsidR="00921B57" w:rsidRPr="00B82E15">
        <w:rPr>
          <w:rFonts w:ascii="Helvetica" w:hAnsi="Helvetica" w:cs="Helvetica"/>
          <w:b/>
          <w:i w:val="0"/>
          <w:color w:val="0070C0"/>
          <w:sz w:val="14"/>
          <w:szCs w:val="14"/>
        </w:rPr>
        <w:instrText xml:space="preserve"> SEQ Tabel \* ARABIC </w:instrText>
      </w:r>
      <w:r w:rsidR="00921B57" w:rsidRPr="00B82E15">
        <w:rPr>
          <w:rFonts w:ascii="Helvetica" w:hAnsi="Helvetica" w:cs="Helvetica"/>
          <w:b/>
          <w:i w:val="0"/>
          <w:color w:val="0070C0"/>
          <w:sz w:val="14"/>
          <w:szCs w:val="14"/>
        </w:rPr>
        <w:fldChar w:fldCharType="separate"/>
      </w:r>
      <w:r w:rsidR="006030B3">
        <w:rPr>
          <w:rFonts w:ascii="Helvetica" w:hAnsi="Helvetica" w:cs="Helvetica"/>
          <w:b/>
          <w:i w:val="0"/>
          <w:noProof/>
          <w:color w:val="0070C0"/>
          <w:sz w:val="14"/>
          <w:szCs w:val="14"/>
        </w:rPr>
        <w:t>3</w:t>
      </w:r>
      <w:r w:rsidR="00921B57" w:rsidRPr="00B82E15">
        <w:rPr>
          <w:rFonts w:ascii="Helvetica" w:hAnsi="Helvetica" w:cs="Helvetica"/>
          <w:b/>
          <w:i w:val="0"/>
          <w:color w:val="0070C0"/>
          <w:sz w:val="14"/>
          <w:szCs w:val="14"/>
        </w:rPr>
        <w:fldChar w:fldCharType="end"/>
      </w:r>
      <w:r w:rsidR="00921B57" w:rsidRPr="00B82E15">
        <w:rPr>
          <w:rFonts w:ascii="Helvetica" w:hAnsi="Helvetica" w:cs="Helvetica"/>
          <w:i w:val="0"/>
          <w:color w:val="auto"/>
          <w:sz w:val="14"/>
          <w:szCs w:val="14"/>
        </w:rPr>
        <w:t xml:space="preserve"> </w:t>
      </w:r>
    </w:p>
    <w:p w14:paraId="59964523" w14:textId="4F0A875A" w:rsidR="00B82E15" w:rsidRDefault="00921B57" w:rsidP="00B82E15">
      <w:pPr>
        <w:pStyle w:val="Caption"/>
        <w:spacing w:after="0"/>
        <w:jc w:val="both"/>
        <w:rPr>
          <w:rFonts w:ascii="Helvetica" w:hAnsi="Helvetica" w:cs="Helvetica"/>
          <w:b/>
          <w:i w:val="0"/>
          <w:color w:val="auto"/>
          <w:sz w:val="14"/>
          <w:szCs w:val="14"/>
          <w:lang w:val="en-US"/>
        </w:rPr>
      </w:pPr>
      <w:r w:rsidRPr="00B82E15">
        <w:rPr>
          <w:rFonts w:ascii="Helvetica" w:hAnsi="Helvetica" w:cs="Helvetica"/>
          <w:b/>
          <w:i w:val="0"/>
          <w:color w:val="auto"/>
          <w:sz w:val="14"/>
          <w:szCs w:val="14"/>
          <w:lang w:val="en-US"/>
        </w:rPr>
        <w:t>Histopathological Tissue Classification of Gastritis Patients Using</w:t>
      </w:r>
      <w:r w:rsidR="00B53540" w:rsidRPr="00B82E15">
        <w:rPr>
          <w:rFonts w:ascii="Helvetica" w:hAnsi="Helvetica" w:cs="Helvetica"/>
          <w:b/>
          <w:i w:val="0"/>
          <w:color w:val="auto"/>
          <w:sz w:val="14"/>
          <w:szCs w:val="14"/>
          <w:lang w:val="en-US"/>
        </w:rPr>
        <w:t xml:space="preserve"> </w:t>
      </w:r>
      <w:proofErr w:type="gramStart"/>
      <w:r w:rsidRPr="00F162BF">
        <w:rPr>
          <w:rFonts w:ascii="Helvetica" w:hAnsi="Helvetica" w:cs="Helvetica"/>
          <w:b/>
          <w:color w:val="auto"/>
          <w:sz w:val="14"/>
          <w:szCs w:val="14"/>
          <w:lang w:val="en-US"/>
        </w:rPr>
        <w:t>The</w:t>
      </w:r>
      <w:proofErr w:type="gramEnd"/>
      <w:r w:rsidRPr="00F162BF">
        <w:rPr>
          <w:rFonts w:ascii="Helvetica" w:hAnsi="Helvetica" w:cs="Helvetica"/>
          <w:b/>
          <w:color w:val="auto"/>
          <w:sz w:val="14"/>
          <w:szCs w:val="14"/>
          <w:lang w:val="en-US"/>
        </w:rPr>
        <w:t xml:space="preserve"> Updated Sydney System</w:t>
      </w:r>
      <w:r w:rsidRPr="00B82E15">
        <w:rPr>
          <w:rFonts w:ascii="Helvetica" w:hAnsi="Helvetica" w:cs="Helvetica"/>
          <w:b/>
          <w:i w:val="0"/>
          <w:color w:val="auto"/>
          <w:sz w:val="14"/>
          <w:szCs w:val="14"/>
          <w:lang w:val="en-US"/>
        </w:rPr>
        <w:t xml:space="preserve"> with Giemsa staining Special Stain Identification of </w:t>
      </w:r>
      <w:r w:rsidRPr="00F162BF">
        <w:rPr>
          <w:rFonts w:ascii="Helvetica" w:hAnsi="Helvetica" w:cs="Helvetica"/>
          <w:b/>
          <w:color w:val="auto"/>
          <w:sz w:val="14"/>
          <w:szCs w:val="14"/>
          <w:lang w:val="en-US"/>
        </w:rPr>
        <w:t>Helicobacter Pylori</w:t>
      </w:r>
      <w:r w:rsidRPr="00B82E15">
        <w:rPr>
          <w:rFonts w:ascii="Helvetica" w:hAnsi="Helvetica" w:cs="Helvetica"/>
          <w:b/>
          <w:i w:val="0"/>
          <w:color w:val="auto"/>
          <w:sz w:val="14"/>
          <w:szCs w:val="14"/>
          <w:lang w:val="en-US"/>
        </w:rPr>
        <w:t xml:space="preserve"> Bacteria</w:t>
      </w:r>
      <w:r w:rsidR="00B82E15">
        <w:rPr>
          <w:rFonts w:ascii="Helvetica" w:hAnsi="Helvetica" w:cs="Helvetica"/>
          <w:b/>
          <w:i w:val="0"/>
          <w:color w:val="auto"/>
          <w:sz w:val="14"/>
          <w:szCs w:val="14"/>
          <w:lang w:val="en-US"/>
        </w:rPr>
        <w:t>.</w:t>
      </w:r>
    </w:p>
    <w:p w14:paraId="7EB976EA" w14:textId="77777777" w:rsidR="00B82E15" w:rsidRPr="00B82E15" w:rsidRDefault="00B82E15" w:rsidP="00B82E15"/>
    <w:tbl>
      <w:tblPr>
        <w:tblStyle w:val="LightShading"/>
        <w:tblW w:w="5088" w:type="dxa"/>
        <w:tblInd w:w="0" w:type="dxa"/>
        <w:tblLook w:val="04A0" w:firstRow="1" w:lastRow="0" w:firstColumn="1" w:lastColumn="0" w:noHBand="0" w:noVBand="1"/>
      </w:tblPr>
      <w:tblGrid>
        <w:gridCol w:w="1672"/>
        <w:gridCol w:w="682"/>
        <w:gridCol w:w="1026"/>
        <w:gridCol w:w="682"/>
        <w:gridCol w:w="1026"/>
      </w:tblGrid>
      <w:tr w:rsidR="00451137" w:rsidRPr="00B82E15" w14:paraId="78884EDC" w14:textId="77777777" w:rsidTr="00451137">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672" w:type="dxa"/>
            <w:noWrap/>
            <w:hideMark/>
          </w:tcPr>
          <w:p w14:paraId="6D29FD06" w14:textId="77777777" w:rsidR="00451137" w:rsidRPr="00B82E15" w:rsidRDefault="00451137" w:rsidP="00A35443">
            <w:pPr>
              <w:spacing w:after="0"/>
              <w:rPr>
                <w:rFonts w:ascii="Times New Roman" w:eastAsia="Times New Roman" w:hAnsi="Times New Roman" w:cs="Times New Roman"/>
                <w:color w:val="000000"/>
                <w:sz w:val="18"/>
                <w:szCs w:val="18"/>
              </w:rPr>
            </w:pPr>
          </w:p>
        </w:tc>
        <w:tc>
          <w:tcPr>
            <w:tcW w:w="3415" w:type="dxa"/>
            <w:gridSpan w:val="4"/>
            <w:noWrap/>
            <w:hideMark/>
          </w:tcPr>
          <w:p w14:paraId="7EDCD29A" w14:textId="77777777" w:rsidR="00451137" w:rsidRPr="00B82E15" w:rsidRDefault="00451137" w:rsidP="00A35443">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roofErr w:type="spellStart"/>
            <w:r w:rsidRPr="00B82E15">
              <w:rPr>
                <w:rFonts w:ascii="Times New Roman" w:eastAsia="Times New Roman" w:hAnsi="Times New Roman" w:cs="Times New Roman"/>
                <w:color w:val="000000"/>
                <w:sz w:val="18"/>
                <w:szCs w:val="18"/>
              </w:rPr>
              <w:t>Gastritic</w:t>
            </w:r>
            <w:proofErr w:type="spellEnd"/>
            <w:r w:rsidRPr="00B82E15">
              <w:rPr>
                <w:rFonts w:ascii="Times New Roman" w:eastAsia="Times New Roman" w:hAnsi="Times New Roman" w:cs="Times New Roman"/>
                <w:color w:val="000000"/>
                <w:sz w:val="18"/>
                <w:szCs w:val="18"/>
              </w:rPr>
              <w:t xml:space="preserve"> Tissue Histopathology</w:t>
            </w:r>
          </w:p>
        </w:tc>
      </w:tr>
      <w:tr w:rsidR="00451137" w:rsidRPr="00B82E15" w14:paraId="29DF14B9" w14:textId="77777777" w:rsidTr="00451137">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672" w:type="dxa"/>
            <w:noWrap/>
            <w:hideMark/>
          </w:tcPr>
          <w:p w14:paraId="204643F0" w14:textId="77777777" w:rsidR="00451137" w:rsidRPr="00B82E15" w:rsidRDefault="00451137" w:rsidP="00A35443">
            <w:pPr>
              <w:rPr>
                <w:rFonts w:ascii="Times New Roman" w:eastAsia="Times New Roman" w:hAnsi="Times New Roman" w:cs="Times New Roman"/>
                <w:color w:val="000000"/>
                <w:sz w:val="18"/>
                <w:szCs w:val="18"/>
              </w:rPr>
            </w:pPr>
          </w:p>
        </w:tc>
        <w:tc>
          <w:tcPr>
            <w:tcW w:w="1708" w:type="dxa"/>
            <w:gridSpan w:val="2"/>
            <w:noWrap/>
            <w:hideMark/>
          </w:tcPr>
          <w:p w14:paraId="42A904F6" w14:textId="77777777" w:rsidR="00451137" w:rsidRPr="00B82E15" w:rsidRDefault="00451137" w:rsidP="00A3544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18"/>
                <w:szCs w:val="18"/>
              </w:rPr>
            </w:pPr>
            <w:r w:rsidRPr="00B82E15">
              <w:rPr>
                <w:rFonts w:ascii="Times New Roman" w:eastAsia="Times New Roman" w:hAnsi="Times New Roman" w:cs="Times New Roman"/>
                <w:i/>
                <w:iCs/>
                <w:color w:val="000000"/>
                <w:sz w:val="18"/>
                <w:szCs w:val="18"/>
              </w:rPr>
              <w:t xml:space="preserve">Helicobacter Pylori (+) </w:t>
            </w:r>
          </w:p>
          <w:p w14:paraId="693022BD" w14:textId="77777777" w:rsidR="00451137" w:rsidRPr="00B82E15" w:rsidRDefault="00451137" w:rsidP="00A3544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18"/>
                <w:szCs w:val="18"/>
              </w:rPr>
            </w:pPr>
            <w:r w:rsidRPr="00B82E15">
              <w:rPr>
                <w:rFonts w:ascii="Times New Roman" w:eastAsia="Times New Roman" w:hAnsi="Times New Roman" w:cs="Times New Roman"/>
                <w:color w:val="000000"/>
                <w:sz w:val="18"/>
                <w:szCs w:val="18"/>
              </w:rPr>
              <w:t>n = 27</w:t>
            </w:r>
          </w:p>
        </w:tc>
        <w:tc>
          <w:tcPr>
            <w:tcW w:w="1708" w:type="dxa"/>
            <w:gridSpan w:val="2"/>
            <w:noWrap/>
            <w:hideMark/>
          </w:tcPr>
          <w:p w14:paraId="76B19089" w14:textId="77777777" w:rsidR="00451137" w:rsidRPr="00B82E15" w:rsidRDefault="00451137" w:rsidP="00A3544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18"/>
                <w:szCs w:val="18"/>
              </w:rPr>
            </w:pPr>
            <w:r w:rsidRPr="00B82E15">
              <w:rPr>
                <w:rFonts w:ascii="Times New Roman" w:eastAsia="Times New Roman" w:hAnsi="Times New Roman" w:cs="Times New Roman"/>
                <w:i/>
                <w:iCs/>
                <w:color w:val="000000"/>
                <w:sz w:val="18"/>
                <w:szCs w:val="18"/>
              </w:rPr>
              <w:t>Helicobacter Pylori (-)</w:t>
            </w:r>
          </w:p>
          <w:p w14:paraId="1502DCD8" w14:textId="77777777" w:rsidR="00451137" w:rsidRPr="00B82E15" w:rsidRDefault="00451137" w:rsidP="00A3544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color w:val="000000"/>
                <w:sz w:val="18"/>
                <w:szCs w:val="18"/>
              </w:rPr>
            </w:pPr>
            <w:r w:rsidRPr="00B82E15">
              <w:rPr>
                <w:rFonts w:ascii="Times New Roman" w:eastAsia="Times New Roman" w:hAnsi="Times New Roman" w:cs="Times New Roman"/>
                <w:color w:val="000000"/>
                <w:sz w:val="18"/>
                <w:szCs w:val="18"/>
              </w:rPr>
              <w:t>n = 33</w:t>
            </w:r>
          </w:p>
        </w:tc>
      </w:tr>
      <w:tr w:rsidR="00451137" w:rsidRPr="00B82E15" w14:paraId="51E23DCC" w14:textId="77777777" w:rsidTr="00451137">
        <w:trPr>
          <w:trHeight w:val="307"/>
        </w:trPr>
        <w:tc>
          <w:tcPr>
            <w:cnfStyle w:val="001000000000" w:firstRow="0" w:lastRow="0" w:firstColumn="1" w:lastColumn="0" w:oddVBand="0" w:evenVBand="0" w:oddHBand="0" w:evenHBand="0" w:firstRowFirstColumn="0" w:firstRowLastColumn="0" w:lastRowFirstColumn="0" w:lastRowLastColumn="0"/>
            <w:tcW w:w="1672" w:type="dxa"/>
            <w:noWrap/>
            <w:hideMark/>
          </w:tcPr>
          <w:p w14:paraId="6E2AD745" w14:textId="77777777" w:rsidR="00451137" w:rsidRPr="00B82E15" w:rsidRDefault="00451137" w:rsidP="00A35443">
            <w:pPr>
              <w:rPr>
                <w:rFonts w:ascii="Times New Roman" w:eastAsia="Times New Roman" w:hAnsi="Times New Roman" w:cs="Times New Roman"/>
                <w:color w:val="000000"/>
                <w:sz w:val="18"/>
                <w:szCs w:val="18"/>
              </w:rPr>
            </w:pPr>
          </w:p>
        </w:tc>
        <w:tc>
          <w:tcPr>
            <w:tcW w:w="682" w:type="dxa"/>
            <w:noWrap/>
            <w:hideMark/>
          </w:tcPr>
          <w:p w14:paraId="7C9158A4" w14:textId="77777777" w:rsidR="00451137" w:rsidRPr="00B82E15" w:rsidRDefault="00451137" w:rsidP="00A3544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B82E15">
              <w:rPr>
                <w:rFonts w:ascii="Times New Roman" w:eastAsia="Times New Roman" w:hAnsi="Times New Roman" w:cs="Times New Roman"/>
                <w:color w:val="000000"/>
                <w:sz w:val="18"/>
                <w:szCs w:val="18"/>
              </w:rPr>
              <w:t>Grade</w:t>
            </w:r>
          </w:p>
        </w:tc>
        <w:tc>
          <w:tcPr>
            <w:tcW w:w="1026" w:type="dxa"/>
            <w:noWrap/>
            <w:hideMark/>
          </w:tcPr>
          <w:p w14:paraId="6F027F0A" w14:textId="77777777" w:rsidR="00451137" w:rsidRPr="00B82E15" w:rsidRDefault="00451137" w:rsidP="00A3544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B82E15">
              <w:rPr>
                <w:rFonts w:ascii="Times New Roman" w:eastAsia="Times New Roman" w:hAnsi="Times New Roman" w:cs="Times New Roman"/>
                <w:color w:val="000000"/>
                <w:sz w:val="18"/>
                <w:szCs w:val="18"/>
              </w:rPr>
              <w:t>Frequency (n)</w:t>
            </w:r>
          </w:p>
        </w:tc>
        <w:tc>
          <w:tcPr>
            <w:tcW w:w="682" w:type="dxa"/>
            <w:noWrap/>
            <w:hideMark/>
          </w:tcPr>
          <w:p w14:paraId="4DD09F63" w14:textId="77777777" w:rsidR="00451137" w:rsidRPr="00B82E15" w:rsidRDefault="00451137" w:rsidP="00A3544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B82E15">
              <w:rPr>
                <w:rFonts w:ascii="Times New Roman" w:eastAsia="Times New Roman" w:hAnsi="Times New Roman" w:cs="Times New Roman"/>
                <w:color w:val="000000"/>
                <w:sz w:val="18"/>
                <w:szCs w:val="18"/>
              </w:rPr>
              <w:t>Grade</w:t>
            </w:r>
          </w:p>
        </w:tc>
        <w:tc>
          <w:tcPr>
            <w:tcW w:w="1026" w:type="dxa"/>
            <w:noWrap/>
            <w:hideMark/>
          </w:tcPr>
          <w:p w14:paraId="577F8370" w14:textId="77777777" w:rsidR="00451137" w:rsidRPr="00B82E15" w:rsidRDefault="00451137" w:rsidP="00A3544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B82E15">
              <w:rPr>
                <w:rFonts w:ascii="Times New Roman" w:eastAsia="Times New Roman" w:hAnsi="Times New Roman" w:cs="Times New Roman"/>
                <w:color w:val="000000"/>
                <w:sz w:val="18"/>
                <w:szCs w:val="18"/>
              </w:rPr>
              <w:t>Frequency (n)</w:t>
            </w:r>
          </w:p>
        </w:tc>
      </w:tr>
      <w:tr w:rsidR="00451137" w:rsidRPr="00B82E15" w14:paraId="5F02BFA3" w14:textId="77777777" w:rsidTr="00451137">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672" w:type="dxa"/>
            <w:vMerge w:val="restart"/>
            <w:noWrap/>
            <w:hideMark/>
          </w:tcPr>
          <w:p w14:paraId="6F699A57" w14:textId="77777777" w:rsidR="00451137" w:rsidRPr="00B82E15" w:rsidRDefault="00451137" w:rsidP="00A35443">
            <w:pPr>
              <w:jc w:val="center"/>
              <w:rPr>
                <w:rFonts w:ascii="Times New Roman" w:eastAsia="Times New Roman" w:hAnsi="Times New Roman" w:cs="Times New Roman"/>
                <w:color w:val="000000"/>
                <w:sz w:val="18"/>
                <w:szCs w:val="18"/>
              </w:rPr>
            </w:pPr>
            <w:r w:rsidRPr="00B82E15">
              <w:rPr>
                <w:rFonts w:ascii="Times New Roman" w:eastAsia="Times New Roman" w:hAnsi="Times New Roman" w:cs="Times New Roman"/>
                <w:i/>
                <w:iCs/>
                <w:color w:val="000000"/>
                <w:sz w:val="18"/>
                <w:szCs w:val="18"/>
              </w:rPr>
              <w:t xml:space="preserve">Helicobacter Pylori </w:t>
            </w:r>
            <w:r w:rsidRPr="00B82E15">
              <w:rPr>
                <w:rFonts w:ascii="Times New Roman" w:eastAsia="Times New Roman" w:hAnsi="Times New Roman" w:cs="Times New Roman"/>
                <w:color w:val="000000"/>
                <w:sz w:val="18"/>
                <w:szCs w:val="18"/>
              </w:rPr>
              <w:t>Bacteria Density</w:t>
            </w:r>
          </w:p>
        </w:tc>
        <w:tc>
          <w:tcPr>
            <w:tcW w:w="682" w:type="dxa"/>
            <w:noWrap/>
            <w:hideMark/>
          </w:tcPr>
          <w:p w14:paraId="4152F6A3" w14:textId="77777777" w:rsidR="00451137" w:rsidRPr="00B82E15" w:rsidRDefault="00451137" w:rsidP="00A3544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B82E15">
              <w:rPr>
                <w:rFonts w:ascii="Times New Roman" w:eastAsia="Times New Roman" w:hAnsi="Times New Roman" w:cs="Times New Roman"/>
                <w:color w:val="000000"/>
                <w:sz w:val="18"/>
                <w:szCs w:val="18"/>
              </w:rPr>
              <w:t>0</w:t>
            </w:r>
          </w:p>
        </w:tc>
        <w:tc>
          <w:tcPr>
            <w:tcW w:w="1026" w:type="dxa"/>
            <w:noWrap/>
            <w:hideMark/>
          </w:tcPr>
          <w:p w14:paraId="26CCAEF2" w14:textId="77777777" w:rsidR="00451137" w:rsidRPr="00B82E15" w:rsidRDefault="00451137" w:rsidP="00A3544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B82E15">
              <w:rPr>
                <w:rFonts w:ascii="Times New Roman" w:eastAsia="Times New Roman" w:hAnsi="Times New Roman" w:cs="Times New Roman"/>
                <w:color w:val="000000"/>
                <w:sz w:val="18"/>
                <w:szCs w:val="18"/>
              </w:rPr>
              <w:t>0</w:t>
            </w:r>
          </w:p>
        </w:tc>
        <w:tc>
          <w:tcPr>
            <w:tcW w:w="682" w:type="dxa"/>
            <w:noWrap/>
            <w:hideMark/>
          </w:tcPr>
          <w:p w14:paraId="15604AB1" w14:textId="77777777" w:rsidR="00451137" w:rsidRPr="00B82E15" w:rsidRDefault="00451137" w:rsidP="00A3544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B82E15">
              <w:rPr>
                <w:rFonts w:ascii="Times New Roman" w:eastAsia="Times New Roman" w:hAnsi="Times New Roman" w:cs="Times New Roman"/>
                <w:color w:val="000000"/>
                <w:sz w:val="18"/>
                <w:szCs w:val="18"/>
              </w:rPr>
              <w:t>0</w:t>
            </w:r>
          </w:p>
        </w:tc>
        <w:tc>
          <w:tcPr>
            <w:tcW w:w="1026" w:type="dxa"/>
            <w:noWrap/>
            <w:hideMark/>
          </w:tcPr>
          <w:p w14:paraId="2A1E146F" w14:textId="77777777" w:rsidR="00451137" w:rsidRPr="00B82E15" w:rsidRDefault="00451137" w:rsidP="00A3544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B82E15">
              <w:rPr>
                <w:rFonts w:ascii="Times New Roman" w:eastAsia="Times New Roman" w:hAnsi="Times New Roman" w:cs="Times New Roman"/>
                <w:color w:val="000000"/>
                <w:sz w:val="18"/>
                <w:szCs w:val="18"/>
              </w:rPr>
              <w:t>33</w:t>
            </w:r>
          </w:p>
        </w:tc>
      </w:tr>
      <w:tr w:rsidR="00451137" w:rsidRPr="00B82E15" w14:paraId="1F7AAB45" w14:textId="77777777" w:rsidTr="00451137">
        <w:trPr>
          <w:trHeight w:val="307"/>
        </w:trPr>
        <w:tc>
          <w:tcPr>
            <w:cnfStyle w:val="001000000000" w:firstRow="0" w:lastRow="0" w:firstColumn="1" w:lastColumn="0" w:oddVBand="0" w:evenVBand="0" w:oddHBand="0" w:evenHBand="0" w:firstRowFirstColumn="0" w:firstRowLastColumn="0" w:lastRowFirstColumn="0" w:lastRowLastColumn="0"/>
            <w:tcW w:w="1672" w:type="dxa"/>
            <w:vMerge/>
            <w:hideMark/>
          </w:tcPr>
          <w:p w14:paraId="077EBDD7" w14:textId="77777777" w:rsidR="00451137" w:rsidRPr="00B82E15" w:rsidRDefault="00451137" w:rsidP="00A35443">
            <w:pPr>
              <w:rPr>
                <w:rFonts w:ascii="Times New Roman" w:eastAsia="Times New Roman" w:hAnsi="Times New Roman" w:cs="Times New Roman"/>
                <w:color w:val="000000"/>
                <w:sz w:val="18"/>
                <w:szCs w:val="18"/>
              </w:rPr>
            </w:pPr>
          </w:p>
        </w:tc>
        <w:tc>
          <w:tcPr>
            <w:tcW w:w="682" w:type="dxa"/>
            <w:noWrap/>
            <w:hideMark/>
          </w:tcPr>
          <w:p w14:paraId="24458A9E" w14:textId="77777777" w:rsidR="00451137" w:rsidRPr="00B82E15" w:rsidRDefault="00451137" w:rsidP="00A3544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B82E15">
              <w:rPr>
                <w:rFonts w:ascii="Times New Roman" w:eastAsia="Times New Roman" w:hAnsi="Times New Roman" w:cs="Times New Roman"/>
                <w:color w:val="000000"/>
                <w:sz w:val="18"/>
                <w:szCs w:val="18"/>
              </w:rPr>
              <w:t>1</w:t>
            </w:r>
          </w:p>
        </w:tc>
        <w:tc>
          <w:tcPr>
            <w:tcW w:w="1026" w:type="dxa"/>
            <w:noWrap/>
            <w:hideMark/>
          </w:tcPr>
          <w:p w14:paraId="1AE39B01" w14:textId="77777777" w:rsidR="00451137" w:rsidRPr="00B82E15" w:rsidRDefault="00451137" w:rsidP="00A3544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B82E15">
              <w:rPr>
                <w:rFonts w:ascii="Times New Roman" w:eastAsia="Times New Roman" w:hAnsi="Times New Roman" w:cs="Times New Roman"/>
                <w:color w:val="000000"/>
                <w:sz w:val="18"/>
                <w:szCs w:val="18"/>
              </w:rPr>
              <w:t>18</w:t>
            </w:r>
          </w:p>
        </w:tc>
        <w:tc>
          <w:tcPr>
            <w:tcW w:w="682" w:type="dxa"/>
            <w:noWrap/>
            <w:hideMark/>
          </w:tcPr>
          <w:p w14:paraId="28BE3368" w14:textId="77777777" w:rsidR="00451137" w:rsidRPr="00B82E15" w:rsidRDefault="00451137" w:rsidP="00A3544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B82E15">
              <w:rPr>
                <w:rFonts w:ascii="Times New Roman" w:eastAsia="Times New Roman" w:hAnsi="Times New Roman" w:cs="Times New Roman"/>
                <w:color w:val="000000"/>
                <w:sz w:val="18"/>
                <w:szCs w:val="18"/>
              </w:rPr>
              <w:t>1</w:t>
            </w:r>
          </w:p>
        </w:tc>
        <w:tc>
          <w:tcPr>
            <w:tcW w:w="1026" w:type="dxa"/>
            <w:noWrap/>
            <w:hideMark/>
          </w:tcPr>
          <w:p w14:paraId="23C6DF8B" w14:textId="77777777" w:rsidR="00451137" w:rsidRPr="00B82E15" w:rsidRDefault="00451137" w:rsidP="00A3544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B82E15">
              <w:rPr>
                <w:rFonts w:ascii="Times New Roman" w:eastAsia="Times New Roman" w:hAnsi="Times New Roman" w:cs="Times New Roman"/>
                <w:color w:val="000000"/>
                <w:sz w:val="18"/>
                <w:szCs w:val="18"/>
              </w:rPr>
              <w:t>0</w:t>
            </w:r>
          </w:p>
        </w:tc>
      </w:tr>
      <w:tr w:rsidR="00451137" w:rsidRPr="00B82E15" w14:paraId="27072CF3" w14:textId="77777777" w:rsidTr="00451137">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672" w:type="dxa"/>
            <w:vMerge/>
            <w:hideMark/>
          </w:tcPr>
          <w:p w14:paraId="40092C64" w14:textId="77777777" w:rsidR="00451137" w:rsidRPr="00B82E15" w:rsidRDefault="00451137" w:rsidP="00A35443">
            <w:pPr>
              <w:rPr>
                <w:rFonts w:ascii="Times New Roman" w:eastAsia="Times New Roman" w:hAnsi="Times New Roman" w:cs="Times New Roman"/>
                <w:color w:val="000000"/>
                <w:sz w:val="18"/>
                <w:szCs w:val="18"/>
              </w:rPr>
            </w:pPr>
          </w:p>
        </w:tc>
        <w:tc>
          <w:tcPr>
            <w:tcW w:w="682" w:type="dxa"/>
            <w:noWrap/>
            <w:hideMark/>
          </w:tcPr>
          <w:p w14:paraId="3AF8C641" w14:textId="77777777" w:rsidR="00451137" w:rsidRPr="00B82E15" w:rsidRDefault="00451137" w:rsidP="00A3544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B82E15">
              <w:rPr>
                <w:rFonts w:ascii="Times New Roman" w:eastAsia="Times New Roman" w:hAnsi="Times New Roman" w:cs="Times New Roman"/>
                <w:color w:val="000000"/>
                <w:sz w:val="18"/>
                <w:szCs w:val="18"/>
              </w:rPr>
              <w:t>2</w:t>
            </w:r>
          </w:p>
        </w:tc>
        <w:tc>
          <w:tcPr>
            <w:tcW w:w="1026" w:type="dxa"/>
            <w:noWrap/>
            <w:hideMark/>
          </w:tcPr>
          <w:p w14:paraId="74DA81DA" w14:textId="77777777" w:rsidR="00451137" w:rsidRPr="00B82E15" w:rsidRDefault="00451137" w:rsidP="00A3544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B82E15">
              <w:rPr>
                <w:rFonts w:ascii="Times New Roman" w:eastAsia="Times New Roman" w:hAnsi="Times New Roman" w:cs="Times New Roman"/>
                <w:color w:val="000000"/>
                <w:sz w:val="18"/>
                <w:szCs w:val="18"/>
              </w:rPr>
              <w:t>5</w:t>
            </w:r>
          </w:p>
        </w:tc>
        <w:tc>
          <w:tcPr>
            <w:tcW w:w="682" w:type="dxa"/>
            <w:noWrap/>
            <w:hideMark/>
          </w:tcPr>
          <w:p w14:paraId="7DB48B04" w14:textId="77777777" w:rsidR="00451137" w:rsidRPr="00B82E15" w:rsidRDefault="00451137" w:rsidP="00A3544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B82E15">
              <w:rPr>
                <w:rFonts w:ascii="Times New Roman" w:eastAsia="Times New Roman" w:hAnsi="Times New Roman" w:cs="Times New Roman"/>
                <w:color w:val="000000"/>
                <w:sz w:val="18"/>
                <w:szCs w:val="18"/>
              </w:rPr>
              <w:t>2</w:t>
            </w:r>
          </w:p>
        </w:tc>
        <w:tc>
          <w:tcPr>
            <w:tcW w:w="1026" w:type="dxa"/>
            <w:noWrap/>
            <w:hideMark/>
          </w:tcPr>
          <w:p w14:paraId="12461E5A" w14:textId="77777777" w:rsidR="00451137" w:rsidRPr="00B82E15" w:rsidRDefault="00451137" w:rsidP="00A3544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B82E15">
              <w:rPr>
                <w:rFonts w:ascii="Times New Roman" w:eastAsia="Times New Roman" w:hAnsi="Times New Roman" w:cs="Times New Roman"/>
                <w:color w:val="000000"/>
                <w:sz w:val="18"/>
                <w:szCs w:val="18"/>
              </w:rPr>
              <w:t>0</w:t>
            </w:r>
          </w:p>
        </w:tc>
      </w:tr>
      <w:tr w:rsidR="00451137" w:rsidRPr="00B82E15" w14:paraId="7B08217E" w14:textId="77777777" w:rsidTr="00451137">
        <w:trPr>
          <w:trHeight w:val="307"/>
        </w:trPr>
        <w:tc>
          <w:tcPr>
            <w:cnfStyle w:val="001000000000" w:firstRow="0" w:lastRow="0" w:firstColumn="1" w:lastColumn="0" w:oddVBand="0" w:evenVBand="0" w:oddHBand="0" w:evenHBand="0" w:firstRowFirstColumn="0" w:firstRowLastColumn="0" w:lastRowFirstColumn="0" w:lastRowLastColumn="0"/>
            <w:tcW w:w="1672" w:type="dxa"/>
            <w:vMerge/>
            <w:hideMark/>
          </w:tcPr>
          <w:p w14:paraId="59544057" w14:textId="77777777" w:rsidR="00451137" w:rsidRPr="00B82E15" w:rsidRDefault="00451137" w:rsidP="00A35443">
            <w:pPr>
              <w:rPr>
                <w:rFonts w:ascii="Times New Roman" w:eastAsia="Times New Roman" w:hAnsi="Times New Roman" w:cs="Times New Roman"/>
                <w:color w:val="000000"/>
                <w:sz w:val="18"/>
                <w:szCs w:val="18"/>
              </w:rPr>
            </w:pPr>
          </w:p>
        </w:tc>
        <w:tc>
          <w:tcPr>
            <w:tcW w:w="682" w:type="dxa"/>
            <w:noWrap/>
            <w:hideMark/>
          </w:tcPr>
          <w:p w14:paraId="1035302F" w14:textId="77777777" w:rsidR="00451137" w:rsidRPr="00B82E15" w:rsidRDefault="00451137" w:rsidP="00A3544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B82E15">
              <w:rPr>
                <w:rFonts w:ascii="Times New Roman" w:eastAsia="Times New Roman" w:hAnsi="Times New Roman" w:cs="Times New Roman"/>
                <w:color w:val="000000"/>
                <w:sz w:val="18"/>
                <w:szCs w:val="18"/>
              </w:rPr>
              <w:t>3</w:t>
            </w:r>
          </w:p>
        </w:tc>
        <w:tc>
          <w:tcPr>
            <w:tcW w:w="1026" w:type="dxa"/>
            <w:noWrap/>
            <w:hideMark/>
          </w:tcPr>
          <w:p w14:paraId="63864819" w14:textId="77777777" w:rsidR="00451137" w:rsidRPr="00B82E15" w:rsidRDefault="00451137" w:rsidP="00A3544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B82E15">
              <w:rPr>
                <w:rFonts w:ascii="Times New Roman" w:eastAsia="Times New Roman" w:hAnsi="Times New Roman" w:cs="Times New Roman"/>
                <w:color w:val="000000"/>
                <w:sz w:val="18"/>
                <w:szCs w:val="18"/>
              </w:rPr>
              <w:t>4</w:t>
            </w:r>
          </w:p>
        </w:tc>
        <w:tc>
          <w:tcPr>
            <w:tcW w:w="682" w:type="dxa"/>
            <w:noWrap/>
            <w:hideMark/>
          </w:tcPr>
          <w:p w14:paraId="3188DCCC" w14:textId="77777777" w:rsidR="00451137" w:rsidRPr="00B82E15" w:rsidRDefault="00451137" w:rsidP="00A3544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B82E15">
              <w:rPr>
                <w:rFonts w:ascii="Times New Roman" w:eastAsia="Times New Roman" w:hAnsi="Times New Roman" w:cs="Times New Roman"/>
                <w:color w:val="000000"/>
                <w:sz w:val="18"/>
                <w:szCs w:val="18"/>
              </w:rPr>
              <w:t>3</w:t>
            </w:r>
          </w:p>
        </w:tc>
        <w:tc>
          <w:tcPr>
            <w:tcW w:w="1026" w:type="dxa"/>
            <w:noWrap/>
            <w:hideMark/>
          </w:tcPr>
          <w:p w14:paraId="6A8B3F4B" w14:textId="77777777" w:rsidR="00451137" w:rsidRPr="00B82E15" w:rsidRDefault="00451137" w:rsidP="00A3544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B82E15">
              <w:rPr>
                <w:rFonts w:ascii="Times New Roman" w:eastAsia="Times New Roman" w:hAnsi="Times New Roman" w:cs="Times New Roman"/>
                <w:color w:val="000000"/>
                <w:sz w:val="18"/>
                <w:szCs w:val="18"/>
              </w:rPr>
              <w:t>0</w:t>
            </w:r>
          </w:p>
        </w:tc>
      </w:tr>
    </w:tbl>
    <w:p w14:paraId="0D05A259" w14:textId="77777777" w:rsidR="00451137" w:rsidRPr="00451137" w:rsidRDefault="00451137" w:rsidP="00451137"/>
    <w:p w14:paraId="38E0FC2B" w14:textId="77777777" w:rsidR="00B82E15" w:rsidRDefault="00B82E15" w:rsidP="00B82E15">
      <w:pPr>
        <w:jc w:val="both"/>
        <w:rPr>
          <w:sz w:val="20"/>
          <w:szCs w:val="20"/>
        </w:rPr>
      </w:pPr>
      <w:r>
        <w:rPr>
          <w:noProof/>
        </w:rPr>
        <w:drawing>
          <wp:inline distT="0" distB="0" distL="0" distR="0" wp14:anchorId="12373B19" wp14:editId="00C2FAFD">
            <wp:extent cx="3065145" cy="2669203"/>
            <wp:effectExtent l="0" t="0" r="1905" b="1714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A36C52E" w14:textId="120A73EB" w:rsidR="00B82E15" w:rsidRPr="00B82E15" w:rsidRDefault="00B82E15" w:rsidP="00B82E15">
      <w:pPr>
        <w:pStyle w:val="Caption"/>
        <w:spacing w:after="0"/>
        <w:jc w:val="both"/>
        <w:rPr>
          <w:rFonts w:ascii="Helvetica" w:hAnsi="Helvetica" w:cs="Helvetica"/>
          <w:b/>
          <w:i w:val="0"/>
          <w:color w:val="auto"/>
          <w:sz w:val="14"/>
          <w:szCs w:val="14"/>
          <w:lang w:val="en-US"/>
        </w:rPr>
      </w:pPr>
      <w:r w:rsidRPr="00B82E15">
        <w:rPr>
          <w:rFonts w:ascii="Helvetica" w:hAnsi="Helvetica" w:cs="Helvetica"/>
          <w:b/>
          <w:i w:val="0"/>
          <w:color w:val="0070C0"/>
          <w:sz w:val="14"/>
          <w:szCs w:val="14"/>
        </w:rPr>
        <w:t xml:space="preserve">FIGURE </w:t>
      </w:r>
      <w:r>
        <w:rPr>
          <w:rFonts w:ascii="Helvetica" w:hAnsi="Helvetica" w:cs="Helvetica"/>
          <w:b/>
          <w:i w:val="0"/>
          <w:color w:val="0070C0"/>
          <w:sz w:val="14"/>
          <w:szCs w:val="14"/>
        </w:rPr>
        <w:t>3</w:t>
      </w:r>
      <w:r w:rsidRPr="00B82E15">
        <w:rPr>
          <w:rFonts w:ascii="Helvetica" w:hAnsi="Helvetica" w:cs="Helvetica"/>
          <w:b/>
          <w:i w:val="0"/>
          <w:color w:val="0070C0"/>
          <w:sz w:val="14"/>
          <w:szCs w:val="14"/>
        </w:rPr>
        <w:t xml:space="preserve">. </w:t>
      </w:r>
      <w:r w:rsidRPr="00B82E15">
        <w:rPr>
          <w:rFonts w:ascii="Helvetica" w:hAnsi="Helvetica" w:cs="Helvetica"/>
          <w:b/>
          <w:i w:val="0"/>
          <w:color w:val="auto"/>
          <w:sz w:val="14"/>
          <w:szCs w:val="14"/>
          <w:lang w:val="en-US"/>
        </w:rPr>
        <w:t xml:space="preserve">Bacterial Density Grade </w:t>
      </w:r>
      <w:r w:rsidRPr="00082E72">
        <w:rPr>
          <w:rFonts w:ascii="Helvetica" w:hAnsi="Helvetica" w:cs="Helvetica"/>
          <w:b/>
          <w:color w:val="auto"/>
          <w:sz w:val="14"/>
          <w:szCs w:val="14"/>
          <w:lang w:val="en-US"/>
        </w:rPr>
        <w:t>Helicobacter pylori</w:t>
      </w:r>
      <w:r w:rsidRPr="00B82E15">
        <w:rPr>
          <w:rFonts w:ascii="Helvetica" w:hAnsi="Helvetica" w:cs="Helvetica"/>
          <w:b/>
          <w:i w:val="0"/>
          <w:color w:val="auto"/>
          <w:sz w:val="14"/>
          <w:szCs w:val="14"/>
          <w:lang w:val="en-US"/>
        </w:rPr>
        <w:t xml:space="preserve"> in gastric tissue according to the classification of </w:t>
      </w:r>
      <w:r w:rsidRPr="00082E72">
        <w:rPr>
          <w:rFonts w:ascii="Helvetica" w:hAnsi="Helvetica" w:cs="Helvetica"/>
          <w:b/>
          <w:color w:val="auto"/>
          <w:sz w:val="14"/>
          <w:szCs w:val="14"/>
          <w:lang w:val="en-US"/>
        </w:rPr>
        <w:t>The Updated Sydney System</w:t>
      </w:r>
      <w:r w:rsidRPr="00B82E15">
        <w:rPr>
          <w:rFonts w:ascii="Helvetica" w:hAnsi="Helvetica" w:cs="Helvetica"/>
          <w:b/>
          <w:i w:val="0"/>
          <w:color w:val="auto"/>
          <w:sz w:val="14"/>
          <w:szCs w:val="14"/>
          <w:lang w:val="en-US"/>
        </w:rPr>
        <w:t>.</w:t>
      </w:r>
    </w:p>
    <w:p w14:paraId="419CE892" w14:textId="77777777" w:rsidR="00B82E15" w:rsidRDefault="00B82E15" w:rsidP="00921B57">
      <w:pPr>
        <w:spacing w:line="240" w:lineRule="exact"/>
        <w:jc w:val="both"/>
        <w:rPr>
          <w:sz w:val="20"/>
          <w:szCs w:val="20"/>
        </w:rPr>
      </w:pPr>
    </w:p>
    <w:p w14:paraId="067F8B9C" w14:textId="77777777" w:rsidR="00B82E15" w:rsidRDefault="00B82E15" w:rsidP="00291BD5">
      <w:pPr>
        <w:jc w:val="both"/>
        <w:rPr>
          <w:sz w:val="20"/>
          <w:szCs w:val="20"/>
        </w:rPr>
      </w:pPr>
    </w:p>
    <w:p w14:paraId="216D2420" w14:textId="5FEB50AA" w:rsidR="00192079" w:rsidRPr="00B82E15" w:rsidRDefault="00B82E15" w:rsidP="00192079">
      <w:pPr>
        <w:pStyle w:val="ListParagraph"/>
        <w:numPr>
          <w:ilvl w:val="0"/>
          <w:numId w:val="18"/>
        </w:numPr>
        <w:tabs>
          <w:tab w:val="left" w:pos="450"/>
        </w:tabs>
        <w:ind w:left="270" w:hanging="270"/>
        <w:jc w:val="both"/>
        <w:rPr>
          <w:rFonts w:ascii="Helvetica" w:hAnsi="Helvetica" w:cs="Helvetica"/>
          <w:b/>
          <w:i/>
          <w:sz w:val="18"/>
          <w:szCs w:val="18"/>
        </w:rPr>
      </w:pPr>
      <w:r w:rsidRPr="00B82E15">
        <w:rPr>
          <w:rFonts w:ascii="Helvetica" w:hAnsi="Helvetica" w:cs="Helvetica"/>
          <w:b/>
          <w:i/>
          <w:sz w:val="18"/>
          <w:szCs w:val="18"/>
          <w:lang w:val="en-US"/>
        </w:rPr>
        <w:t>THE RELATIONSHIP OF NEUTROPHIL LYMPHOCYTE RATIO WITH THE DENSITY LEVEL OF THE BACTERIA HELICOBACTER PYLORI USING THE CLASSIFICATION SYSTEM THE UPDATED SYDNEY SYSTEM</w:t>
      </w:r>
    </w:p>
    <w:p w14:paraId="730FA60E" w14:textId="77777777" w:rsidR="00192079" w:rsidRDefault="000160D3" w:rsidP="00B82E15">
      <w:pPr>
        <w:jc w:val="both"/>
        <w:rPr>
          <w:rFonts w:eastAsiaTheme="minorEastAsia"/>
          <w:sz w:val="20"/>
          <w:szCs w:val="20"/>
        </w:rPr>
      </w:pPr>
      <w:r>
        <w:rPr>
          <w:sz w:val="20"/>
          <w:szCs w:val="20"/>
        </w:rPr>
        <w:t>The normality test in this study is presented in</w:t>
      </w:r>
      <w:r w:rsidR="005D7A62">
        <w:rPr>
          <w:sz w:val="20"/>
          <w:szCs w:val="20"/>
        </w:rPr>
        <w:t xml:space="preserve"> </w:t>
      </w:r>
      <w:r w:rsidR="001107A2" w:rsidRPr="00B82E15">
        <w:rPr>
          <w:bCs/>
          <w:color w:val="0070C0"/>
          <w:sz w:val="20"/>
          <w:szCs w:val="20"/>
        </w:rPr>
        <w:t>TABLE 4</w:t>
      </w:r>
      <w:r w:rsidRPr="00B82E15">
        <w:rPr>
          <w:bCs/>
          <w:sz w:val="20"/>
          <w:szCs w:val="20"/>
        </w:rPr>
        <w:t>,</w:t>
      </w:r>
      <w:r>
        <w:rPr>
          <w:sz w:val="20"/>
          <w:szCs w:val="20"/>
        </w:rPr>
        <w:t xml:space="preserve"> showing the normality test for the N</w:t>
      </w:r>
      <w:r w:rsidR="005D7A62">
        <w:rPr>
          <w:sz w:val="20"/>
          <w:szCs w:val="20"/>
        </w:rPr>
        <w:t>eutrophil Lymphocyte Rati</w:t>
      </w:r>
      <w:r w:rsidR="008304D8">
        <w:rPr>
          <w:sz w:val="20"/>
          <w:szCs w:val="20"/>
        </w:rPr>
        <w:t>o</w:t>
      </w:r>
      <w:r>
        <w:rPr>
          <w:sz w:val="20"/>
          <w:szCs w:val="20"/>
        </w:rPr>
        <w:t xml:space="preserve"> which has been examined in the anatomical pathology laboratory and clinical pathology laboratory, RSPAL dr. Ramelan Surabaya is not normally distributed. SPSS output results obtained a significant value (p-value) for the Neutrophil Lymphocyte Ratio is 0.000. When compared with the value (0.05) then the p-value &lt;</w:t>
      </w:r>
      <w:r w:rsidR="008304D8">
        <w:rPr>
          <w:sz w:val="20"/>
          <w:szCs w:val="20"/>
        </w:rPr>
        <w:t xml:space="preserve"> </w:t>
      </w:r>
      <m:oMath>
        <m:r>
          <w:rPr>
            <w:rFonts w:ascii="Cambria Math" w:hAnsi="Cambria Math"/>
            <w:sz w:val="20"/>
            <w:szCs w:val="20"/>
          </w:rPr>
          <m:t>α</m:t>
        </m:r>
      </m:oMath>
      <w:r>
        <w:rPr>
          <w:sz w:val="20"/>
          <w:szCs w:val="20"/>
        </w:rPr>
        <w:t xml:space="preserve"> so it can be concluded that the data is not normally distributed</w:t>
      </w:r>
      <w:r w:rsidR="008304D8">
        <w:rPr>
          <w:sz w:val="20"/>
          <w:szCs w:val="20"/>
        </w:rPr>
        <w:t>.</w:t>
      </w:r>
    </w:p>
    <w:p w14:paraId="3A625D66" w14:textId="3654D844" w:rsidR="00192079" w:rsidRDefault="00192079" w:rsidP="00192079">
      <w:pPr>
        <w:ind w:firstLine="180"/>
        <w:jc w:val="both"/>
        <w:rPr>
          <w:rFonts w:eastAsiaTheme="minorEastAsia"/>
          <w:sz w:val="20"/>
          <w:szCs w:val="20"/>
        </w:rPr>
      </w:pPr>
    </w:p>
    <w:p w14:paraId="6AA5E4B3" w14:textId="3EC82BCA" w:rsidR="00192079" w:rsidRPr="00B82E15" w:rsidRDefault="00192079" w:rsidP="00B82E15">
      <w:pPr>
        <w:pStyle w:val="Caption"/>
        <w:spacing w:after="0"/>
        <w:jc w:val="center"/>
        <w:rPr>
          <w:rFonts w:ascii="Helvetica" w:hAnsi="Helvetica" w:cs="Helvetica"/>
          <w:b/>
          <w:i w:val="0"/>
          <w:color w:val="0070C0"/>
          <w:sz w:val="14"/>
          <w:szCs w:val="14"/>
        </w:rPr>
      </w:pPr>
      <w:r w:rsidRPr="00B82E15">
        <w:rPr>
          <w:rFonts w:ascii="Helvetica" w:hAnsi="Helvetica" w:cs="Helvetica"/>
          <w:b/>
          <w:i w:val="0"/>
          <w:color w:val="0070C0"/>
          <w:sz w:val="14"/>
          <w:szCs w:val="14"/>
        </w:rPr>
        <w:t>TABLE</w:t>
      </w:r>
      <w:r w:rsidR="00B82E15">
        <w:rPr>
          <w:rFonts w:ascii="Helvetica" w:hAnsi="Helvetica" w:cs="Helvetica"/>
          <w:b/>
          <w:i w:val="0"/>
          <w:color w:val="0070C0"/>
          <w:sz w:val="14"/>
          <w:szCs w:val="14"/>
        </w:rPr>
        <w:t xml:space="preserve"> </w:t>
      </w:r>
      <w:r w:rsidR="000160D3" w:rsidRPr="00B82E15">
        <w:rPr>
          <w:rFonts w:ascii="Helvetica" w:hAnsi="Helvetica" w:cs="Helvetica"/>
          <w:b/>
          <w:i w:val="0"/>
          <w:color w:val="0070C0"/>
          <w:sz w:val="14"/>
          <w:szCs w:val="14"/>
        </w:rPr>
        <w:fldChar w:fldCharType="begin"/>
      </w:r>
      <w:r w:rsidR="000160D3" w:rsidRPr="00B82E15">
        <w:rPr>
          <w:rFonts w:ascii="Helvetica" w:hAnsi="Helvetica" w:cs="Helvetica"/>
          <w:b/>
          <w:i w:val="0"/>
          <w:color w:val="0070C0"/>
          <w:sz w:val="14"/>
          <w:szCs w:val="14"/>
        </w:rPr>
        <w:instrText xml:space="preserve"> SEQ Tabel \* ARABIC </w:instrText>
      </w:r>
      <w:r w:rsidR="000160D3" w:rsidRPr="00B82E15">
        <w:rPr>
          <w:rFonts w:ascii="Helvetica" w:hAnsi="Helvetica" w:cs="Helvetica"/>
          <w:b/>
          <w:i w:val="0"/>
          <w:color w:val="0070C0"/>
          <w:sz w:val="14"/>
          <w:szCs w:val="14"/>
        </w:rPr>
        <w:fldChar w:fldCharType="separate"/>
      </w:r>
      <w:r w:rsidR="006030B3">
        <w:rPr>
          <w:rFonts w:ascii="Helvetica" w:hAnsi="Helvetica" w:cs="Helvetica"/>
          <w:b/>
          <w:i w:val="0"/>
          <w:noProof/>
          <w:color w:val="0070C0"/>
          <w:sz w:val="14"/>
          <w:szCs w:val="14"/>
        </w:rPr>
        <w:t>4</w:t>
      </w:r>
      <w:r w:rsidR="000160D3" w:rsidRPr="00B82E15">
        <w:rPr>
          <w:rFonts w:ascii="Helvetica" w:hAnsi="Helvetica" w:cs="Helvetica"/>
          <w:b/>
          <w:i w:val="0"/>
          <w:color w:val="0070C0"/>
          <w:sz w:val="14"/>
          <w:szCs w:val="14"/>
        </w:rPr>
        <w:fldChar w:fldCharType="end"/>
      </w:r>
    </w:p>
    <w:p w14:paraId="7C00AE0A" w14:textId="2CAEB50E" w:rsidR="00B82E15" w:rsidRPr="00132C0C" w:rsidRDefault="00B53540" w:rsidP="00132C0C">
      <w:pPr>
        <w:pStyle w:val="Caption"/>
        <w:spacing w:after="0"/>
        <w:jc w:val="both"/>
        <w:rPr>
          <w:rFonts w:ascii="Helvetica" w:hAnsi="Helvetica" w:cs="Helvetica"/>
          <w:b/>
          <w:i w:val="0"/>
          <w:color w:val="auto"/>
          <w:sz w:val="14"/>
          <w:szCs w:val="14"/>
        </w:rPr>
      </w:pPr>
      <w:r w:rsidRPr="00B82E15">
        <w:rPr>
          <w:rFonts w:ascii="Helvetica" w:hAnsi="Helvetica" w:cs="Helvetica"/>
          <w:b/>
          <w:i w:val="0"/>
          <w:color w:val="auto"/>
          <w:sz w:val="14"/>
          <w:szCs w:val="14"/>
        </w:rPr>
        <w:t>Neutrophil Lymphocyte Ratio (NLR</w:t>
      </w:r>
      <w:r w:rsidR="000160D3" w:rsidRPr="00B82E15">
        <w:rPr>
          <w:rFonts w:ascii="Helvetica" w:hAnsi="Helvetica" w:cs="Helvetica"/>
          <w:b/>
          <w:i w:val="0"/>
          <w:color w:val="auto"/>
          <w:sz w:val="14"/>
          <w:szCs w:val="14"/>
        </w:rPr>
        <w:t xml:space="preserve">) normality test for gastritis patients at the Anatomical Pathology Laboratory and Clinical Pathology Laboratory, RSPAL </w:t>
      </w:r>
      <w:proofErr w:type="spellStart"/>
      <w:r w:rsidR="000160D3" w:rsidRPr="00B82E15">
        <w:rPr>
          <w:rFonts w:ascii="Helvetica" w:hAnsi="Helvetica" w:cs="Helvetica"/>
          <w:b/>
          <w:i w:val="0"/>
          <w:color w:val="auto"/>
          <w:sz w:val="14"/>
          <w:szCs w:val="14"/>
        </w:rPr>
        <w:t>dr.</w:t>
      </w:r>
      <w:proofErr w:type="spellEnd"/>
      <w:r w:rsidR="000160D3" w:rsidRPr="00B82E15">
        <w:rPr>
          <w:rFonts w:ascii="Helvetica" w:hAnsi="Helvetica" w:cs="Helvetica"/>
          <w:b/>
          <w:i w:val="0"/>
          <w:color w:val="auto"/>
          <w:sz w:val="14"/>
          <w:szCs w:val="14"/>
        </w:rPr>
        <w:t xml:space="preserve"> Ramelan Surabaya</w:t>
      </w:r>
      <w:r w:rsidR="00B82E15">
        <w:rPr>
          <w:rFonts w:ascii="Helvetica" w:hAnsi="Helvetica" w:cs="Helvetica"/>
          <w:b/>
          <w:i w:val="0"/>
          <w:color w:val="auto"/>
          <w:sz w:val="14"/>
          <w:szCs w:val="14"/>
        </w:rPr>
        <w:t>.</w:t>
      </w:r>
    </w:p>
    <w:p w14:paraId="5E85241A" w14:textId="729E91F0" w:rsidR="00192079" w:rsidRPr="00B82E15" w:rsidRDefault="00E105D4" w:rsidP="00B82E15">
      <w:pPr>
        <w:pStyle w:val="Caption"/>
        <w:spacing w:after="0"/>
        <w:jc w:val="both"/>
        <w:rPr>
          <w:rStyle w:val="CommentReference"/>
          <w:rFonts w:ascii="Helvetica" w:eastAsia="Times New Roman" w:hAnsi="Helvetica" w:cs="Helvetica"/>
          <w:i w:val="0"/>
          <w:iCs w:val="0"/>
          <w:color w:val="auto"/>
          <w:sz w:val="14"/>
          <w:szCs w:val="14"/>
          <w:lang w:val="en-US"/>
        </w:rPr>
      </w:pPr>
      <w:r w:rsidRPr="00B82E15">
        <w:rPr>
          <w:rFonts w:ascii="Helvetica" w:hAnsi="Helvetica" w:cs="Helvetica"/>
          <w:b/>
          <w:i w:val="0"/>
          <w:color w:val="auto"/>
          <w:lang w:val="en-US"/>
        </w:rPr>
        <w:t xml:space="preserve"> </w:t>
      </w:r>
    </w:p>
    <w:tbl>
      <w:tblPr>
        <w:tblStyle w:val="LightShading"/>
        <w:tblW w:w="4670" w:type="dxa"/>
        <w:jc w:val="center"/>
        <w:tblInd w:w="0" w:type="dxa"/>
        <w:tblLook w:val="04A0" w:firstRow="1" w:lastRow="0" w:firstColumn="1" w:lastColumn="0" w:noHBand="0" w:noVBand="1"/>
      </w:tblPr>
      <w:tblGrid>
        <w:gridCol w:w="2697"/>
        <w:gridCol w:w="784"/>
        <w:gridCol w:w="1189"/>
      </w:tblGrid>
      <w:tr w:rsidR="00951277" w:rsidRPr="00495E16" w14:paraId="24F6E0A0" w14:textId="77777777" w:rsidTr="00B82E15">
        <w:trPr>
          <w:cnfStyle w:val="100000000000" w:firstRow="1" w:lastRow="0" w:firstColumn="0" w:lastColumn="0" w:oddVBand="0" w:evenVBand="0" w:oddHBand="0"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4670" w:type="dxa"/>
            <w:gridSpan w:val="3"/>
            <w:noWrap/>
            <w:hideMark/>
          </w:tcPr>
          <w:p w14:paraId="4C8BA99E" w14:textId="77777777" w:rsidR="00951277" w:rsidRPr="00495E16" w:rsidRDefault="00951277" w:rsidP="00A35443">
            <w:pPr>
              <w:spacing w:after="0"/>
              <w:jc w:val="center"/>
              <w:rPr>
                <w:rFonts w:ascii="Times New Roman" w:eastAsia="Times New Roman" w:hAnsi="Times New Roman" w:cs="Times New Roman"/>
                <w:color w:val="000000"/>
                <w:sz w:val="20"/>
                <w:szCs w:val="20"/>
              </w:rPr>
            </w:pPr>
            <w:r w:rsidRPr="00495E16">
              <w:rPr>
                <w:rFonts w:ascii="Times New Roman" w:eastAsia="Times New Roman" w:hAnsi="Times New Roman" w:cs="Times New Roman"/>
                <w:color w:val="000000"/>
                <w:sz w:val="20"/>
                <w:szCs w:val="20"/>
              </w:rPr>
              <w:t>Kolmogorov-Smirnov</w:t>
            </w:r>
          </w:p>
        </w:tc>
      </w:tr>
      <w:tr w:rsidR="00451137" w:rsidRPr="00495E16" w14:paraId="01B5514F" w14:textId="77777777" w:rsidTr="00B82E15">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2697" w:type="dxa"/>
            <w:vMerge w:val="restart"/>
            <w:noWrap/>
            <w:hideMark/>
          </w:tcPr>
          <w:p w14:paraId="2E1425E1" w14:textId="77777777" w:rsidR="00951277" w:rsidRPr="00495E16" w:rsidRDefault="00951277" w:rsidP="00A35443">
            <w:pPr>
              <w:jc w:val="center"/>
              <w:rPr>
                <w:rFonts w:ascii="Times New Roman" w:eastAsia="Times New Roman" w:hAnsi="Times New Roman" w:cs="Times New Roman"/>
                <w:color w:val="000000"/>
                <w:sz w:val="20"/>
                <w:szCs w:val="20"/>
              </w:rPr>
            </w:pPr>
            <w:r w:rsidRPr="00495E16">
              <w:rPr>
                <w:rFonts w:ascii="Times New Roman" w:eastAsia="Times New Roman" w:hAnsi="Times New Roman" w:cs="Times New Roman"/>
                <w:color w:val="000000"/>
                <w:sz w:val="20"/>
                <w:szCs w:val="20"/>
              </w:rPr>
              <w:t>Neutrophil Lymphocyte Ratio (NLR)</w:t>
            </w:r>
          </w:p>
        </w:tc>
        <w:tc>
          <w:tcPr>
            <w:tcW w:w="784" w:type="dxa"/>
            <w:noWrap/>
            <w:hideMark/>
          </w:tcPr>
          <w:p w14:paraId="55FDF4B7" w14:textId="77777777" w:rsidR="00951277" w:rsidRPr="00495E16" w:rsidRDefault="00951277" w:rsidP="00A3544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95E16">
              <w:rPr>
                <w:rFonts w:ascii="Times New Roman" w:eastAsia="Times New Roman" w:hAnsi="Times New Roman" w:cs="Times New Roman"/>
                <w:color w:val="000000"/>
                <w:sz w:val="20"/>
                <w:szCs w:val="20"/>
              </w:rPr>
              <w:t>Sig</w:t>
            </w:r>
          </w:p>
        </w:tc>
        <w:tc>
          <w:tcPr>
            <w:tcW w:w="1189" w:type="dxa"/>
            <w:noWrap/>
            <w:hideMark/>
          </w:tcPr>
          <w:p w14:paraId="0AA1F15E" w14:textId="77777777" w:rsidR="00951277" w:rsidRPr="00495E16" w:rsidRDefault="00951277" w:rsidP="00A3544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495E16">
              <w:rPr>
                <w:rFonts w:ascii="Times New Roman" w:eastAsia="Times New Roman" w:hAnsi="Times New Roman" w:cs="Times New Roman"/>
                <w:color w:val="000000"/>
                <w:sz w:val="20"/>
                <w:szCs w:val="20"/>
              </w:rPr>
              <w:t>N</w:t>
            </w:r>
          </w:p>
        </w:tc>
      </w:tr>
      <w:tr w:rsidR="00951277" w:rsidRPr="00495E16" w14:paraId="4C11246C" w14:textId="77777777" w:rsidTr="00B82E15">
        <w:trPr>
          <w:trHeight w:val="274"/>
          <w:jc w:val="center"/>
        </w:trPr>
        <w:tc>
          <w:tcPr>
            <w:cnfStyle w:val="001000000000" w:firstRow="0" w:lastRow="0" w:firstColumn="1" w:lastColumn="0" w:oddVBand="0" w:evenVBand="0" w:oddHBand="0" w:evenHBand="0" w:firstRowFirstColumn="0" w:firstRowLastColumn="0" w:lastRowFirstColumn="0" w:lastRowLastColumn="0"/>
            <w:tcW w:w="2697" w:type="dxa"/>
            <w:vMerge/>
            <w:hideMark/>
          </w:tcPr>
          <w:p w14:paraId="23FCF2FB" w14:textId="77777777" w:rsidR="00951277" w:rsidRPr="00495E16" w:rsidRDefault="00951277" w:rsidP="00A35443">
            <w:pPr>
              <w:rPr>
                <w:rFonts w:ascii="Times New Roman" w:eastAsia="Times New Roman" w:hAnsi="Times New Roman" w:cs="Times New Roman"/>
                <w:color w:val="000000"/>
                <w:sz w:val="20"/>
                <w:szCs w:val="20"/>
              </w:rPr>
            </w:pPr>
          </w:p>
        </w:tc>
        <w:tc>
          <w:tcPr>
            <w:tcW w:w="784" w:type="dxa"/>
            <w:noWrap/>
            <w:hideMark/>
          </w:tcPr>
          <w:p w14:paraId="3A025244" w14:textId="77777777" w:rsidR="00951277" w:rsidRPr="00495E16" w:rsidRDefault="00951277" w:rsidP="00A35443">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951277">
              <w:rPr>
                <w:rFonts w:ascii="Times New Roman" w:eastAsia="Times New Roman" w:hAnsi="Times New Roman" w:cs="Times New Roman"/>
                <w:color w:val="000000"/>
                <w:sz w:val="20"/>
                <w:szCs w:val="20"/>
              </w:rPr>
              <w:t>.000</w:t>
            </w:r>
          </w:p>
        </w:tc>
        <w:tc>
          <w:tcPr>
            <w:tcW w:w="1189" w:type="dxa"/>
            <w:noWrap/>
            <w:hideMark/>
          </w:tcPr>
          <w:p w14:paraId="061AC556" w14:textId="77777777" w:rsidR="00951277" w:rsidRPr="00495E16" w:rsidRDefault="00951277" w:rsidP="00A35443">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495E16">
              <w:rPr>
                <w:rFonts w:ascii="Times New Roman" w:eastAsia="Times New Roman" w:hAnsi="Times New Roman" w:cs="Times New Roman"/>
                <w:color w:val="000000"/>
                <w:sz w:val="20"/>
                <w:szCs w:val="20"/>
              </w:rPr>
              <w:t>60</w:t>
            </w:r>
          </w:p>
        </w:tc>
      </w:tr>
      <w:tr w:rsidR="00451137" w:rsidRPr="00495E16" w14:paraId="10ABBFAF" w14:textId="77777777" w:rsidTr="00B82E15">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2697" w:type="dxa"/>
            <w:vMerge/>
            <w:hideMark/>
          </w:tcPr>
          <w:p w14:paraId="48AF1535" w14:textId="77777777" w:rsidR="00951277" w:rsidRPr="00495E16" w:rsidRDefault="00951277" w:rsidP="00A35443">
            <w:pPr>
              <w:rPr>
                <w:rFonts w:ascii="Calibri" w:eastAsia="Times New Roman" w:hAnsi="Calibri" w:cs="Calibri"/>
                <w:color w:val="000000"/>
              </w:rPr>
            </w:pPr>
          </w:p>
        </w:tc>
        <w:tc>
          <w:tcPr>
            <w:tcW w:w="784" w:type="dxa"/>
            <w:noWrap/>
            <w:hideMark/>
          </w:tcPr>
          <w:p w14:paraId="7FCD6126" w14:textId="77777777" w:rsidR="00951277" w:rsidRPr="00495E16" w:rsidRDefault="00951277" w:rsidP="00A354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c>
          <w:tcPr>
            <w:tcW w:w="1189" w:type="dxa"/>
            <w:noWrap/>
            <w:hideMark/>
          </w:tcPr>
          <w:p w14:paraId="0514F947" w14:textId="77777777" w:rsidR="00951277" w:rsidRPr="00495E16" w:rsidRDefault="00951277" w:rsidP="00A3544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p>
        </w:tc>
      </w:tr>
    </w:tbl>
    <w:p w14:paraId="28BA88BC" w14:textId="77777777" w:rsidR="00924819" w:rsidRPr="00951277" w:rsidRDefault="00924819" w:rsidP="00951277"/>
    <w:p w14:paraId="34C6D6E2" w14:textId="592DCE29" w:rsidR="00192079" w:rsidRPr="00B82E15" w:rsidRDefault="00192079" w:rsidP="00B82E15">
      <w:pPr>
        <w:pStyle w:val="Caption"/>
        <w:spacing w:after="0"/>
        <w:jc w:val="center"/>
        <w:rPr>
          <w:rFonts w:ascii="Helvetica" w:hAnsi="Helvetica" w:cs="Helvetica"/>
          <w:b/>
          <w:i w:val="0"/>
          <w:color w:val="0070C0"/>
          <w:sz w:val="14"/>
          <w:szCs w:val="14"/>
          <w:lang w:val="en-US"/>
        </w:rPr>
      </w:pPr>
      <w:r w:rsidRPr="00B82E15">
        <w:rPr>
          <w:rFonts w:ascii="Helvetica" w:hAnsi="Helvetica" w:cs="Helvetica"/>
          <w:b/>
          <w:i w:val="0"/>
          <w:color w:val="0070C0"/>
          <w:sz w:val="14"/>
          <w:szCs w:val="14"/>
        </w:rPr>
        <w:t>TABLE</w:t>
      </w:r>
      <w:r w:rsidR="00B82E15">
        <w:rPr>
          <w:rFonts w:ascii="Helvetica" w:hAnsi="Helvetica" w:cs="Helvetica"/>
          <w:b/>
          <w:i w:val="0"/>
          <w:color w:val="0070C0"/>
          <w:sz w:val="14"/>
          <w:szCs w:val="14"/>
        </w:rPr>
        <w:t xml:space="preserve"> </w:t>
      </w:r>
      <w:r w:rsidR="000160D3" w:rsidRPr="00B82E15">
        <w:rPr>
          <w:rFonts w:ascii="Helvetica" w:hAnsi="Helvetica" w:cs="Helvetica"/>
          <w:b/>
          <w:i w:val="0"/>
          <w:color w:val="0070C0"/>
          <w:sz w:val="14"/>
          <w:szCs w:val="14"/>
        </w:rPr>
        <w:fldChar w:fldCharType="begin"/>
      </w:r>
      <w:r w:rsidR="000160D3" w:rsidRPr="00B82E15">
        <w:rPr>
          <w:rFonts w:ascii="Helvetica" w:hAnsi="Helvetica" w:cs="Helvetica"/>
          <w:b/>
          <w:i w:val="0"/>
          <w:color w:val="0070C0"/>
          <w:sz w:val="14"/>
          <w:szCs w:val="14"/>
        </w:rPr>
        <w:instrText xml:space="preserve"> SEQ Tabel \* ARABIC </w:instrText>
      </w:r>
      <w:r w:rsidR="000160D3" w:rsidRPr="00B82E15">
        <w:rPr>
          <w:rFonts w:ascii="Helvetica" w:hAnsi="Helvetica" w:cs="Helvetica"/>
          <w:b/>
          <w:i w:val="0"/>
          <w:color w:val="0070C0"/>
          <w:sz w:val="14"/>
          <w:szCs w:val="14"/>
        </w:rPr>
        <w:fldChar w:fldCharType="separate"/>
      </w:r>
      <w:r w:rsidR="006030B3">
        <w:rPr>
          <w:rFonts w:ascii="Helvetica" w:hAnsi="Helvetica" w:cs="Helvetica"/>
          <w:b/>
          <w:i w:val="0"/>
          <w:noProof/>
          <w:color w:val="0070C0"/>
          <w:sz w:val="14"/>
          <w:szCs w:val="14"/>
        </w:rPr>
        <w:t>5</w:t>
      </w:r>
      <w:r w:rsidR="000160D3" w:rsidRPr="00B82E15">
        <w:rPr>
          <w:rFonts w:ascii="Helvetica" w:hAnsi="Helvetica" w:cs="Helvetica"/>
          <w:b/>
          <w:i w:val="0"/>
          <w:color w:val="0070C0"/>
          <w:sz w:val="14"/>
          <w:szCs w:val="14"/>
        </w:rPr>
        <w:fldChar w:fldCharType="end"/>
      </w:r>
    </w:p>
    <w:p w14:paraId="4B2E62FC" w14:textId="6DF95884" w:rsidR="00192079" w:rsidRPr="00B82E15" w:rsidRDefault="00B53540" w:rsidP="00B82E15">
      <w:pPr>
        <w:pStyle w:val="Caption"/>
        <w:spacing w:after="0"/>
        <w:rPr>
          <w:rFonts w:ascii="Helvetica" w:hAnsi="Helvetica" w:cs="Helvetica"/>
          <w:b/>
          <w:i w:val="0"/>
          <w:color w:val="auto"/>
          <w:sz w:val="14"/>
          <w:szCs w:val="14"/>
          <w:lang w:val="en-US"/>
        </w:rPr>
      </w:pPr>
      <w:r w:rsidRPr="00B82E15">
        <w:rPr>
          <w:rFonts w:ascii="Helvetica" w:hAnsi="Helvetica" w:cs="Helvetica"/>
          <w:b/>
          <w:i w:val="0"/>
          <w:color w:val="auto"/>
          <w:sz w:val="14"/>
          <w:szCs w:val="14"/>
          <w:lang w:val="en-US"/>
        </w:rPr>
        <w:t>Cut-off Value of Neutrophil Lymphocyte Ratio</w:t>
      </w:r>
      <w:r w:rsidR="000160D3" w:rsidRPr="00B82E15">
        <w:rPr>
          <w:rFonts w:ascii="Helvetica" w:hAnsi="Helvetica" w:cs="Helvetica"/>
          <w:b/>
          <w:i w:val="0"/>
          <w:color w:val="auto"/>
          <w:sz w:val="14"/>
          <w:szCs w:val="14"/>
          <w:lang w:val="en-US"/>
        </w:rPr>
        <w:t xml:space="preserve"> Data for Gastriti</w:t>
      </w:r>
      <w:r w:rsidR="00951277" w:rsidRPr="00B82E15">
        <w:rPr>
          <w:rFonts w:ascii="Helvetica" w:hAnsi="Helvetica" w:cs="Helvetica"/>
          <w:b/>
          <w:i w:val="0"/>
          <w:color w:val="auto"/>
          <w:sz w:val="14"/>
          <w:szCs w:val="14"/>
          <w:lang w:val="en-US"/>
        </w:rPr>
        <w:t xml:space="preserve">s Patients Analyzed Using ROC </w:t>
      </w:r>
      <w:r w:rsidR="000160D3" w:rsidRPr="00B82E15">
        <w:rPr>
          <w:rFonts w:ascii="Helvetica" w:hAnsi="Helvetica" w:cs="Helvetica"/>
          <w:b/>
          <w:i w:val="0"/>
          <w:color w:val="auto"/>
          <w:sz w:val="14"/>
          <w:szCs w:val="14"/>
          <w:lang w:val="en-US"/>
        </w:rPr>
        <w:t>Curve</w:t>
      </w:r>
    </w:p>
    <w:tbl>
      <w:tblPr>
        <w:tblStyle w:val="LightShading"/>
        <w:tblW w:w="4599" w:type="dxa"/>
        <w:jc w:val="center"/>
        <w:tblInd w:w="0" w:type="dxa"/>
        <w:tblLook w:val="04A0" w:firstRow="1" w:lastRow="0" w:firstColumn="1" w:lastColumn="0" w:noHBand="0" w:noVBand="1"/>
      </w:tblPr>
      <w:tblGrid>
        <w:gridCol w:w="2592"/>
        <w:gridCol w:w="2007"/>
      </w:tblGrid>
      <w:tr w:rsidR="00951277" w:rsidRPr="00B82E15" w14:paraId="59A414EF" w14:textId="77777777" w:rsidTr="00B82E15">
        <w:trPr>
          <w:cnfStyle w:val="100000000000" w:firstRow="1" w:lastRow="0" w:firstColumn="0" w:lastColumn="0" w:oddVBand="0" w:evenVBand="0" w:oddHBand="0" w:evenHBand="0" w:firstRowFirstColumn="0" w:firstRowLastColumn="0" w:lastRowFirstColumn="0" w:lastRowLastColumn="0"/>
          <w:trHeight w:val="335"/>
          <w:jc w:val="center"/>
        </w:trPr>
        <w:tc>
          <w:tcPr>
            <w:cnfStyle w:val="001000000000" w:firstRow="0" w:lastRow="0" w:firstColumn="1" w:lastColumn="0" w:oddVBand="0" w:evenVBand="0" w:oddHBand="0" w:evenHBand="0" w:firstRowFirstColumn="0" w:firstRowLastColumn="0" w:lastRowFirstColumn="0" w:lastRowLastColumn="0"/>
            <w:tcW w:w="2592" w:type="dxa"/>
            <w:noWrap/>
            <w:hideMark/>
          </w:tcPr>
          <w:p w14:paraId="3B26389F" w14:textId="77777777" w:rsidR="00951277" w:rsidRPr="00B82E15" w:rsidRDefault="00951277" w:rsidP="00B82E15">
            <w:pPr>
              <w:spacing w:after="0"/>
              <w:jc w:val="center"/>
              <w:rPr>
                <w:rFonts w:ascii="Times New Roman" w:eastAsia="Times New Roman" w:hAnsi="Times New Roman" w:cs="Times New Roman"/>
                <w:iCs/>
                <w:color w:val="000000"/>
                <w:sz w:val="20"/>
                <w:szCs w:val="20"/>
              </w:rPr>
            </w:pPr>
            <w:r w:rsidRPr="00B82E15">
              <w:rPr>
                <w:rFonts w:ascii="Times New Roman" w:eastAsia="Times New Roman" w:hAnsi="Times New Roman" w:cs="Times New Roman"/>
                <w:iCs/>
                <w:color w:val="000000"/>
                <w:sz w:val="20"/>
                <w:szCs w:val="20"/>
              </w:rPr>
              <w:t>Cut-off</w:t>
            </w:r>
          </w:p>
        </w:tc>
        <w:tc>
          <w:tcPr>
            <w:tcW w:w="2007" w:type="dxa"/>
            <w:noWrap/>
            <w:hideMark/>
          </w:tcPr>
          <w:p w14:paraId="44570693" w14:textId="72C84578" w:rsidR="00951277" w:rsidRPr="00B82E15" w:rsidRDefault="00B82E15" w:rsidP="00B82E15">
            <w:pPr>
              <w:spacing w:after="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sz w:val="20"/>
                <w:szCs w:val="20"/>
              </w:rPr>
            </w:pPr>
            <w:r w:rsidRPr="00B82E15">
              <w:rPr>
                <w:rFonts w:ascii="Times New Roman" w:eastAsia="Times New Roman" w:hAnsi="Times New Roman" w:cs="Times New Roman"/>
                <w:iCs/>
                <w:color w:val="000000"/>
                <w:sz w:val="20"/>
                <w:szCs w:val="20"/>
              </w:rPr>
              <w:t>Status</w:t>
            </w:r>
          </w:p>
        </w:tc>
      </w:tr>
      <w:tr w:rsidR="00951277" w:rsidRPr="00B82E15" w14:paraId="350BC739" w14:textId="77777777" w:rsidTr="00B82E15">
        <w:trPr>
          <w:cnfStyle w:val="000000100000" w:firstRow="0" w:lastRow="0" w:firstColumn="0" w:lastColumn="0" w:oddVBand="0" w:evenVBand="0" w:oddHBand="1" w:evenHBand="0" w:firstRowFirstColumn="0" w:firstRowLastColumn="0" w:lastRowFirstColumn="0" w:lastRowLastColumn="0"/>
          <w:trHeight w:val="335"/>
          <w:jc w:val="center"/>
        </w:trPr>
        <w:tc>
          <w:tcPr>
            <w:cnfStyle w:val="001000000000" w:firstRow="0" w:lastRow="0" w:firstColumn="1" w:lastColumn="0" w:oddVBand="0" w:evenVBand="0" w:oddHBand="0" w:evenHBand="0" w:firstRowFirstColumn="0" w:firstRowLastColumn="0" w:lastRowFirstColumn="0" w:lastRowLastColumn="0"/>
            <w:tcW w:w="2592" w:type="dxa"/>
            <w:noWrap/>
            <w:hideMark/>
          </w:tcPr>
          <w:p w14:paraId="06C4055F" w14:textId="77777777" w:rsidR="00951277" w:rsidRPr="00B82E15" w:rsidRDefault="00951277" w:rsidP="00B82E15">
            <w:pPr>
              <w:jc w:val="center"/>
              <w:rPr>
                <w:rFonts w:ascii="Times New Roman" w:eastAsia="Times New Roman" w:hAnsi="Times New Roman" w:cs="Times New Roman"/>
                <w:iCs/>
                <w:color w:val="000000"/>
                <w:sz w:val="20"/>
                <w:szCs w:val="20"/>
              </w:rPr>
            </w:pPr>
            <w:r w:rsidRPr="00B82E15">
              <w:rPr>
                <w:rFonts w:ascii="Times New Roman" w:eastAsia="Times New Roman" w:hAnsi="Times New Roman" w:cs="Times New Roman"/>
                <w:iCs/>
                <w:color w:val="000000"/>
                <w:sz w:val="20"/>
                <w:szCs w:val="20"/>
              </w:rPr>
              <w:t>&lt; 4,44</w:t>
            </w:r>
          </w:p>
        </w:tc>
        <w:tc>
          <w:tcPr>
            <w:tcW w:w="2007" w:type="dxa"/>
            <w:noWrap/>
            <w:hideMark/>
          </w:tcPr>
          <w:p w14:paraId="290EBA3F" w14:textId="164CA9C3" w:rsidR="00951277" w:rsidRPr="00B82E15" w:rsidRDefault="00951277" w:rsidP="00B82E1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color w:val="000000"/>
                <w:sz w:val="20"/>
                <w:szCs w:val="20"/>
              </w:rPr>
            </w:pPr>
            <w:r w:rsidRPr="00B82E15">
              <w:rPr>
                <w:rFonts w:ascii="Times New Roman" w:eastAsia="Times New Roman" w:hAnsi="Times New Roman" w:cs="Times New Roman"/>
                <w:iCs/>
                <w:color w:val="000000"/>
                <w:sz w:val="20"/>
                <w:szCs w:val="20"/>
              </w:rPr>
              <w:t>Minimum</w:t>
            </w:r>
          </w:p>
        </w:tc>
      </w:tr>
      <w:tr w:rsidR="00951277" w:rsidRPr="00B82E15" w14:paraId="1699F10B" w14:textId="77777777" w:rsidTr="00B82E15">
        <w:trPr>
          <w:trHeight w:val="335"/>
          <w:jc w:val="center"/>
        </w:trPr>
        <w:tc>
          <w:tcPr>
            <w:cnfStyle w:val="001000000000" w:firstRow="0" w:lastRow="0" w:firstColumn="1" w:lastColumn="0" w:oddVBand="0" w:evenVBand="0" w:oddHBand="0" w:evenHBand="0" w:firstRowFirstColumn="0" w:firstRowLastColumn="0" w:lastRowFirstColumn="0" w:lastRowLastColumn="0"/>
            <w:tcW w:w="2592" w:type="dxa"/>
            <w:noWrap/>
            <w:hideMark/>
          </w:tcPr>
          <w:p w14:paraId="1FE6A25C" w14:textId="77777777" w:rsidR="00951277" w:rsidRPr="00B82E15" w:rsidRDefault="00951277" w:rsidP="00B82E15">
            <w:pPr>
              <w:jc w:val="center"/>
              <w:rPr>
                <w:rFonts w:ascii="Times New Roman" w:eastAsia="Times New Roman" w:hAnsi="Times New Roman" w:cs="Times New Roman"/>
                <w:iCs/>
                <w:color w:val="000000"/>
                <w:sz w:val="20"/>
                <w:szCs w:val="20"/>
              </w:rPr>
            </w:pPr>
            <w:r w:rsidRPr="00B82E15">
              <w:rPr>
                <w:rFonts w:ascii="Times New Roman" w:eastAsia="Times New Roman" w:hAnsi="Times New Roman" w:cs="Times New Roman"/>
                <w:iCs/>
                <w:color w:val="000000"/>
                <w:sz w:val="20"/>
                <w:szCs w:val="20"/>
              </w:rPr>
              <w:t>&lt; 4,55</w:t>
            </w:r>
          </w:p>
        </w:tc>
        <w:tc>
          <w:tcPr>
            <w:tcW w:w="2007" w:type="dxa"/>
            <w:noWrap/>
            <w:hideMark/>
          </w:tcPr>
          <w:p w14:paraId="6DEF764A" w14:textId="77777777" w:rsidR="00951277" w:rsidRPr="00B82E15" w:rsidRDefault="00951277" w:rsidP="00B82E1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color w:val="000000"/>
                <w:sz w:val="20"/>
                <w:szCs w:val="20"/>
              </w:rPr>
            </w:pPr>
            <w:r w:rsidRPr="00B82E15">
              <w:rPr>
                <w:rFonts w:ascii="Times New Roman" w:eastAsia="Times New Roman" w:hAnsi="Times New Roman" w:cs="Times New Roman"/>
                <w:iCs/>
                <w:color w:val="000000"/>
                <w:sz w:val="20"/>
                <w:szCs w:val="20"/>
              </w:rPr>
              <w:t>Maximum</w:t>
            </w:r>
          </w:p>
        </w:tc>
      </w:tr>
    </w:tbl>
    <w:p w14:paraId="32CCC34C" w14:textId="062083D6" w:rsidR="00951277" w:rsidRPr="00951277" w:rsidRDefault="00951277" w:rsidP="00951277"/>
    <w:p w14:paraId="59718E02" w14:textId="77777777" w:rsidR="00205F80" w:rsidRDefault="00192079" w:rsidP="00B82E15">
      <w:pPr>
        <w:jc w:val="both"/>
        <w:rPr>
          <w:sz w:val="20"/>
          <w:szCs w:val="20"/>
        </w:rPr>
      </w:pPr>
      <w:r w:rsidRPr="00B82E15">
        <w:rPr>
          <w:bCs/>
          <w:color w:val="0070C0"/>
          <w:sz w:val="20"/>
          <w:szCs w:val="20"/>
        </w:rPr>
        <w:t>TABLE 5</w:t>
      </w:r>
      <w:r w:rsidR="00B53540">
        <w:rPr>
          <w:b/>
          <w:color w:val="0070C0"/>
          <w:sz w:val="20"/>
          <w:szCs w:val="20"/>
        </w:rPr>
        <w:t xml:space="preserve"> </w:t>
      </w:r>
      <w:r w:rsidR="001107A2">
        <w:rPr>
          <w:sz w:val="20"/>
          <w:szCs w:val="20"/>
        </w:rPr>
        <w:t xml:space="preserve">presented analysis of neutrophil lymphocyte ratio data to determine the minimum and maximum values ​​of neutrophil lymphocyte ratio using cut-off values ​​with ROC curves. So that the data can be converted into categorical form for further data analysis. </w:t>
      </w:r>
    </w:p>
    <w:p w14:paraId="7461B718" w14:textId="77777777" w:rsidR="00B53540" w:rsidRDefault="00B53540" w:rsidP="00192079">
      <w:pPr>
        <w:ind w:firstLine="180"/>
        <w:jc w:val="both"/>
        <w:rPr>
          <w:sz w:val="20"/>
          <w:szCs w:val="20"/>
        </w:rPr>
      </w:pPr>
    </w:p>
    <w:p w14:paraId="71E375C6" w14:textId="6FD1DAC6" w:rsidR="00205F80" w:rsidRPr="00B82E15" w:rsidRDefault="00205F80" w:rsidP="00B82E15">
      <w:pPr>
        <w:pStyle w:val="Caption"/>
        <w:spacing w:after="0"/>
        <w:jc w:val="center"/>
        <w:rPr>
          <w:rFonts w:ascii="Helvetica" w:hAnsi="Helvetica" w:cs="Helvetica"/>
          <w:b/>
          <w:i w:val="0"/>
          <w:color w:val="0070C0"/>
          <w:sz w:val="14"/>
          <w:szCs w:val="14"/>
          <w:lang w:val="en-US"/>
        </w:rPr>
      </w:pPr>
      <w:r w:rsidRPr="00B82E15">
        <w:rPr>
          <w:rFonts w:ascii="Helvetica" w:hAnsi="Helvetica" w:cs="Helvetica"/>
          <w:b/>
          <w:i w:val="0"/>
          <w:color w:val="0070C0"/>
          <w:sz w:val="14"/>
          <w:szCs w:val="14"/>
        </w:rPr>
        <w:t>TABLE</w:t>
      </w:r>
      <w:r w:rsidRPr="00B82E15">
        <w:rPr>
          <w:rFonts w:ascii="Helvetica" w:hAnsi="Helvetica" w:cs="Helvetica"/>
          <w:b/>
          <w:i w:val="0"/>
          <w:color w:val="0070C0"/>
          <w:sz w:val="14"/>
          <w:szCs w:val="14"/>
        </w:rPr>
        <w:fldChar w:fldCharType="begin"/>
      </w:r>
      <w:r w:rsidRPr="00B82E15">
        <w:rPr>
          <w:rFonts w:ascii="Helvetica" w:hAnsi="Helvetica" w:cs="Helvetica"/>
          <w:b/>
          <w:i w:val="0"/>
          <w:color w:val="0070C0"/>
          <w:sz w:val="14"/>
          <w:szCs w:val="14"/>
        </w:rPr>
        <w:instrText xml:space="preserve"> SEQ Tabel \* ARABIC </w:instrText>
      </w:r>
      <w:r w:rsidRPr="00B82E15">
        <w:rPr>
          <w:rFonts w:ascii="Helvetica" w:hAnsi="Helvetica" w:cs="Helvetica"/>
          <w:b/>
          <w:i w:val="0"/>
          <w:color w:val="0070C0"/>
          <w:sz w:val="14"/>
          <w:szCs w:val="14"/>
        </w:rPr>
        <w:fldChar w:fldCharType="separate"/>
      </w:r>
      <w:r w:rsidR="006030B3">
        <w:rPr>
          <w:rFonts w:ascii="Helvetica" w:hAnsi="Helvetica" w:cs="Helvetica"/>
          <w:b/>
          <w:i w:val="0"/>
          <w:noProof/>
          <w:color w:val="0070C0"/>
          <w:sz w:val="14"/>
          <w:szCs w:val="14"/>
        </w:rPr>
        <w:t>6</w:t>
      </w:r>
      <w:r w:rsidRPr="00B82E15">
        <w:rPr>
          <w:rFonts w:ascii="Helvetica" w:hAnsi="Helvetica" w:cs="Helvetica"/>
          <w:b/>
          <w:i w:val="0"/>
          <w:color w:val="0070C0"/>
          <w:sz w:val="14"/>
          <w:szCs w:val="14"/>
        </w:rPr>
        <w:fldChar w:fldCharType="end"/>
      </w:r>
    </w:p>
    <w:p w14:paraId="514943EB" w14:textId="02BF7780" w:rsidR="00B82E15" w:rsidRPr="00B82E15" w:rsidRDefault="00205F80" w:rsidP="00B82E15">
      <w:pPr>
        <w:pStyle w:val="Caption"/>
        <w:spacing w:after="0"/>
        <w:jc w:val="both"/>
        <w:rPr>
          <w:rFonts w:ascii="Helvetica" w:hAnsi="Helvetica" w:cs="Helvetica"/>
          <w:b/>
          <w:color w:val="auto"/>
          <w:sz w:val="14"/>
          <w:szCs w:val="14"/>
          <w:lang w:val="en-US"/>
        </w:rPr>
      </w:pPr>
      <w:r w:rsidRPr="00B82E15">
        <w:rPr>
          <w:rFonts w:ascii="Helvetica" w:hAnsi="Helvetica" w:cs="Helvetica"/>
          <w:b/>
          <w:i w:val="0"/>
          <w:color w:val="auto"/>
          <w:sz w:val="14"/>
          <w:szCs w:val="14"/>
          <w:lang w:val="en-US"/>
        </w:rPr>
        <w:t>The relationship between neutrophil lymphocyte ratio and histopathological examination results for identification of bacterial infections</w:t>
      </w:r>
      <w:r w:rsidR="00B53540" w:rsidRPr="00B82E15">
        <w:rPr>
          <w:rFonts w:ascii="Helvetica" w:hAnsi="Helvetica" w:cs="Helvetica"/>
          <w:b/>
          <w:i w:val="0"/>
          <w:color w:val="auto"/>
          <w:sz w:val="14"/>
          <w:szCs w:val="14"/>
          <w:lang w:val="en-US"/>
        </w:rPr>
        <w:t xml:space="preserve"> </w:t>
      </w:r>
      <w:r w:rsidRPr="00B82E15">
        <w:rPr>
          <w:rFonts w:ascii="Helvetica" w:hAnsi="Helvetica" w:cs="Helvetica"/>
          <w:b/>
          <w:color w:val="auto"/>
          <w:sz w:val="14"/>
          <w:szCs w:val="14"/>
          <w:lang w:val="en-US"/>
        </w:rPr>
        <w:t xml:space="preserve">Helicobacter Pylori </w:t>
      </w:r>
      <w:r w:rsidRPr="00082E72">
        <w:rPr>
          <w:rFonts w:ascii="Helvetica" w:hAnsi="Helvetica" w:cs="Helvetica"/>
          <w:b/>
          <w:i w:val="0"/>
          <w:color w:val="auto"/>
          <w:sz w:val="14"/>
          <w:szCs w:val="14"/>
          <w:lang w:val="en-US"/>
        </w:rPr>
        <w:t>Density Levels</w:t>
      </w:r>
      <w:r w:rsidRPr="00B82E15">
        <w:rPr>
          <w:rFonts w:ascii="Helvetica" w:hAnsi="Helvetica" w:cs="Helvetica"/>
          <w:b/>
          <w:color w:val="auto"/>
          <w:sz w:val="14"/>
          <w:szCs w:val="14"/>
          <w:lang w:val="en-US"/>
        </w:rPr>
        <w:t xml:space="preserve"> </w:t>
      </w:r>
      <w:r w:rsidRPr="00082E72">
        <w:rPr>
          <w:rFonts w:ascii="Helvetica" w:hAnsi="Helvetica" w:cs="Helvetica"/>
          <w:b/>
          <w:i w:val="0"/>
          <w:color w:val="auto"/>
          <w:sz w:val="14"/>
          <w:szCs w:val="14"/>
          <w:lang w:val="en-US"/>
        </w:rPr>
        <w:t xml:space="preserve">of </w:t>
      </w:r>
      <w:r w:rsidRPr="00B82E15">
        <w:rPr>
          <w:rFonts w:ascii="Helvetica" w:hAnsi="Helvetica" w:cs="Helvetica"/>
          <w:b/>
          <w:color w:val="auto"/>
          <w:sz w:val="14"/>
          <w:szCs w:val="14"/>
          <w:lang w:val="en-US"/>
        </w:rPr>
        <w:t xml:space="preserve">Helicobacter Pylori </w:t>
      </w:r>
      <w:r w:rsidRPr="00082E72">
        <w:rPr>
          <w:rFonts w:ascii="Helvetica" w:hAnsi="Helvetica" w:cs="Helvetica"/>
          <w:b/>
          <w:i w:val="0"/>
          <w:color w:val="auto"/>
          <w:sz w:val="14"/>
          <w:szCs w:val="14"/>
          <w:lang w:val="en-US"/>
        </w:rPr>
        <w:t>Bacteria in Gastritis Patients at RSPAL Dr. Ramelan Surabaya</w:t>
      </w:r>
      <w:r w:rsidR="00B82E15" w:rsidRPr="00B82E15">
        <w:rPr>
          <w:rFonts w:ascii="Helvetica" w:hAnsi="Helvetica" w:cs="Helvetica"/>
          <w:b/>
          <w:color w:val="auto"/>
          <w:sz w:val="14"/>
          <w:szCs w:val="14"/>
          <w:lang w:val="en-US"/>
        </w:rPr>
        <w:t>.</w:t>
      </w:r>
    </w:p>
    <w:tbl>
      <w:tblPr>
        <w:tblStyle w:val="LightShading"/>
        <w:tblW w:w="4680" w:type="dxa"/>
        <w:tblInd w:w="108" w:type="dxa"/>
        <w:tblLook w:val="04A0" w:firstRow="1" w:lastRow="0" w:firstColumn="1" w:lastColumn="0" w:noHBand="0" w:noVBand="1"/>
      </w:tblPr>
      <w:tblGrid>
        <w:gridCol w:w="2250"/>
        <w:gridCol w:w="1440"/>
        <w:gridCol w:w="990"/>
      </w:tblGrid>
      <w:tr w:rsidR="00951277" w:rsidRPr="00B82E15" w14:paraId="38549EA2" w14:textId="77777777" w:rsidTr="00B82E15">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4677" w:type="dxa"/>
            <w:gridSpan w:val="3"/>
            <w:noWrap/>
            <w:hideMark/>
          </w:tcPr>
          <w:p w14:paraId="4654A542" w14:textId="4270FFFD" w:rsidR="00951277" w:rsidRPr="00B82E15" w:rsidRDefault="00951277" w:rsidP="00A35443">
            <w:pPr>
              <w:spacing w:after="0"/>
              <w:jc w:val="right"/>
              <w:rPr>
                <w:rFonts w:ascii="Times New Roman" w:eastAsia="Times New Roman" w:hAnsi="Times New Roman" w:cs="Times New Roman"/>
                <w:color w:val="000000"/>
                <w:sz w:val="18"/>
                <w:szCs w:val="18"/>
              </w:rPr>
            </w:pPr>
            <w:r w:rsidRPr="00B82E15">
              <w:rPr>
                <w:rFonts w:ascii="Times New Roman" w:eastAsia="Times New Roman" w:hAnsi="Times New Roman" w:cs="Times New Roman"/>
                <w:color w:val="000000"/>
                <w:sz w:val="18"/>
                <w:szCs w:val="18"/>
              </w:rPr>
              <w:t xml:space="preserve">Helicobacter Pylori </w:t>
            </w:r>
            <w:r w:rsidRPr="00B82E15">
              <w:rPr>
                <w:rFonts w:ascii="Times New Roman" w:eastAsia="Times New Roman" w:hAnsi="Times New Roman" w:cs="Times New Roman"/>
                <w:color w:val="000000"/>
                <w:sz w:val="18"/>
                <w:szCs w:val="18"/>
              </w:rPr>
              <w:br/>
              <w:t>Bacteria Density</w:t>
            </w:r>
          </w:p>
        </w:tc>
      </w:tr>
      <w:tr w:rsidR="00951277" w:rsidRPr="00B82E15" w14:paraId="72B7669F" w14:textId="77777777" w:rsidTr="00B82E15">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250" w:type="dxa"/>
            <w:vMerge w:val="restart"/>
            <w:noWrap/>
            <w:hideMark/>
          </w:tcPr>
          <w:p w14:paraId="21567589" w14:textId="77777777" w:rsidR="00951277" w:rsidRPr="00B82E15" w:rsidRDefault="00951277" w:rsidP="00A35443">
            <w:pPr>
              <w:jc w:val="center"/>
              <w:rPr>
                <w:rFonts w:ascii="Times New Roman" w:eastAsia="Times New Roman" w:hAnsi="Times New Roman" w:cs="Times New Roman"/>
                <w:color w:val="000000"/>
                <w:sz w:val="18"/>
                <w:szCs w:val="18"/>
              </w:rPr>
            </w:pPr>
            <w:r w:rsidRPr="00B82E15">
              <w:rPr>
                <w:rFonts w:ascii="Times New Roman" w:eastAsia="Times New Roman" w:hAnsi="Times New Roman" w:cs="Times New Roman"/>
                <w:color w:val="000000"/>
                <w:sz w:val="18"/>
                <w:szCs w:val="18"/>
              </w:rPr>
              <w:t>Neutrophil Lymphocyte Ratio (NLR) Gastritis Patient</w:t>
            </w:r>
          </w:p>
        </w:tc>
        <w:tc>
          <w:tcPr>
            <w:tcW w:w="1440" w:type="dxa"/>
            <w:noWrap/>
            <w:hideMark/>
          </w:tcPr>
          <w:p w14:paraId="04195585" w14:textId="77777777" w:rsidR="00951277" w:rsidRPr="00B82E15" w:rsidRDefault="00951277" w:rsidP="00A3544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B82E15">
              <w:rPr>
                <w:rFonts w:ascii="Times New Roman" w:eastAsia="Times New Roman" w:hAnsi="Times New Roman" w:cs="Times New Roman"/>
                <w:color w:val="000000"/>
                <w:sz w:val="18"/>
                <w:szCs w:val="18"/>
              </w:rPr>
              <w:t>Correlation Coefficient</w:t>
            </w:r>
          </w:p>
          <w:p w14:paraId="0CE7C397" w14:textId="77777777" w:rsidR="00951277" w:rsidRPr="00B82E15" w:rsidRDefault="00951277" w:rsidP="00A3544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p>
        </w:tc>
        <w:tc>
          <w:tcPr>
            <w:tcW w:w="990" w:type="dxa"/>
            <w:noWrap/>
            <w:hideMark/>
          </w:tcPr>
          <w:p w14:paraId="324741E3" w14:textId="249ED6C6" w:rsidR="00951277" w:rsidRPr="00B82E15" w:rsidRDefault="00951277" w:rsidP="0095127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B82E15">
              <w:rPr>
                <w:rFonts w:ascii="Times New Roman" w:eastAsia="Times New Roman" w:hAnsi="Times New Roman" w:cs="Times New Roman"/>
                <w:color w:val="000000"/>
                <w:sz w:val="18"/>
                <w:szCs w:val="18"/>
              </w:rPr>
              <w:t>-,960</w:t>
            </w:r>
          </w:p>
        </w:tc>
      </w:tr>
      <w:tr w:rsidR="00951277" w:rsidRPr="00B82E15" w14:paraId="32A108DB" w14:textId="77777777" w:rsidTr="00B82E15">
        <w:trPr>
          <w:trHeight w:val="308"/>
        </w:trPr>
        <w:tc>
          <w:tcPr>
            <w:cnfStyle w:val="001000000000" w:firstRow="0" w:lastRow="0" w:firstColumn="1" w:lastColumn="0" w:oddVBand="0" w:evenVBand="0" w:oddHBand="0" w:evenHBand="0" w:firstRowFirstColumn="0" w:firstRowLastColumn="0" w:lastRowFirstColumn="0" w:lastRowLastColumn="0"/>
            <w:tcW w:w="2250" w:type="dxa"/>
            <w:vMerge/>
            <w:hideMark/>
          </w:tcPr>
          <w:p w14:paraId="00E8D4B5" w14:textId="77777777" w:rsidR="00951277" w:rsidRPr="00B82E15" w:rsidRDefault="00951277" w:rsidP="00A35443">
            <w:pPr>
              <w:rPr>
                <w:rFonts w:ascii="Calibri" w:eastAsia="Times New Roman" w:hAnsi="Calibri" w:cs="Calibri"/>
                <w:color w:val="000000"/>
                <w:sz w:val="18"/>
                <w:szCs w:val="18"/>
              </w:rPr>
            </w:pPr>
          </w:p>
        </w:tc>
        <w:tc>
          <w:tcPr>
            <w:tcW w:w="1440" w:type="dxa"/>
            <w:noWrap/>
            <w:hideMark/>
          </w:tcPr>
          <w:p w14:paraId="7F34C970" w14:textId="77777777" w:rsidR="00951277" w:rsidRPr="00B82E15" w:rsidRDefault="00951277" w:rsidP="00A3544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B82E15">
              <w:rPr>
                <w:rFonts w:ascii="Times New Roman" w:eastAsia="Times New Roman" w:hAnsi="Times New Roman" w:cs="Times New Roman"/>
                <w:color w:val="000000"/>
                <w:sz w:val="18"/>
                <w:szCs w:val="18"/>
              </w:rPr>
              <w:t>Sig.(2-tailed)</w:t>
            </w:r>
          </w:p>
        </w:tc>
        <w:tc>
          <w:tcPr>
            <w:tcW w:w="990" w:type="dxa"/>
            <w:noWrap/>
            <w:hideMark/>
          </w:tcPr>
          <w:p w14:paraId="2720DBE8" w14:textId="77777777" w:rsidR="00951277" w:rsidRPr="00B82E15" w:rsidRDefault="00951277" w:rsidP="00A35443">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B82E15">
              <w:rPr>
                <w:rFonts w:ascii="Times New Roman" w:eastAsia="Times New Roman" w:hAnsi="Times New Roman" w:cs="Times New Roman"/>
                <w:color w:val="000000"/>
                <w:sz w:val="18"/>
                <w:szCs w:val="18"/>
              </w:rPr>
              <w:t>,000</w:t>
            </w:r>
          </w:p>
        </w:tc>
      </w:tr>
      <w:tr w:rsidR="00951277" w:rsidRPr="00B82E15" w14:paraId="625A6F69" w14:textId="77777777" w:rsidTr="00B82E15">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250" w:type="dxa"/>
            <w:vMerge/>
            <w:hideMark/>
          </w:tcPr>
          <w:p w14:paraId="66DD8E86" w14:textId="77777777" w:rsidR="00951277" w:rsidRPr="00B82E15" w:rsidRDefault="00951277" w:rsidP="00A35443">
            <w:pPr>
              <w:rPr>
                <w:rFonts w:ascii="Calibri" w:eastAsia="Times New Roman" w:hAnsi="Calibri" w:cs="Calibri"/>
                <w:color w:val="000000"/>
                <w:sz w:val="18"/>
                <w:szCs w:val="18"/>
              </w:rPr>
            </w:pPr>
          </w:p>
        </w:tc>
        <w:tc>
          <w:tcPr>
            <w:tcW w:w="1440" w:type="dxa"/>
            <w:noWrap/>
            <w:hideMark/>
          </w:tcPr>
          <w:p w14:paraId="5CB1AA22" w14:textId="77777777" w:rsidR="00951277" w:rsidRPr="00B82E15" w:rsidRDefault="00951277" w:rsidP="00A3544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B82E15">
              <w:rPr>
                <w:rFonts w:ascii="Times New Roman" w:eastAsia="Times New Roman" w:hAnsi="Times New Roman" w:cs="Times New Roman"/>
                <w:color w:val="000000"/>
                <w:sz w:val="18"/>
                <w:szCs w:val="18"/>
              </w:rPr>
              <w:t>N</w:t>
            </w:r>
          </w:p>
        </w:tc>
        <w:tc>
          <w:tcPr>
            <w:tcW w:w="990" w:type="dxa"/>
            <w:noWrap/>
            <w:hideMark/>
          </w:tcPr>
          <w:p w14:paraId="26D8B312" w14:textId="77777777" w:rsidR="00951277" w:rsidRPr="00B82E15" w:rsidRDefault="00951277" w:rsidP="00A35443">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B82E15">
              <w:rPr>
                <w:rFonts w:ascii="Times New Roman" w:eastAsia="Times New Roman" w:hAnsi="Times New Roman" w:cs="Times New Roman"/>
                <w:color w:val="000000"/>
                <w:sz w:val="18"/>
                <w:szCs w:val="18"/>
              </w:rPr>
              <w:t>60</w:t>
            </w:r>
          </w:p>
        </w:tc>
      </w:tr>
    </w:tbl>
    <w:p w14:paraId="425CCA62" w14:textId="77777777" w:rsidR="00AB62BE" w:rsidRDefault="00AB62BE" w:rsidP="00192079">
      <w:pPr>
        <w:jc w:val="both"/>
        <w:rPr>
          <w:rStyle w:val="CommentReference"/>
        </w:rPr>
      </w:pPr>
    </w:p>
    <w:p w14:paraId="4001A32E" w14:textId="42CEE9A4" w:rsidR="00132C0C" w:rsidRDefault="000160D3" w:rsidP="00B82E15">
      <w:pPr>
        <w:jc w:val="both"/>
        <w:rPr>
          <w:sz w:val="20"/>
          <w:szCs w:val="20"/>
        </w:rPr>
      </w:pPr>
      <w:r>
        <w:rPr>
          <w:sz w:val="20"/>
          <w:szCs w:val="20"/>
        </w:rPr>
        <w:t>Based on</w:t>
      </w:r>
      <w:r w:rsidR="00B53540">
        <w:rPr>
          <w:sz w:val="20"/>
          <w:szCs w:val="20"/>
        </w:rPr>
        <w:t xml:space="preserve"> </w:t>
      </w:r>
      <w:r w:rsidR="00205F80" w:rsidRPr="00B82E15">
        <w:rPr>
          <w:bCs/>
          <w:color w:val="0070C0"/>
          <w:sz w:val="20"/>
          <w:szCs w:val="20"/>
        </w:rPr>
        <w:t>TABLE 6</w:t>
      </w:r>
      <w:r w:rsidR="00B53540" w:rsidRPr="00B82E15">
        <w:rPr>
          <w:bCs/>
          <w:color w:val="0070C0"/>
          <w:sz w:val="20"/>
          <w:szCs w:val="20"/>
        </w:rPr>
        <w:t xml:space="preserve"> </w:t>
      </w:r>
      <w:r w:rsidR="00924819">
        <w:rPr>
          <w:sz w:val="20"/>
          <w:szCs w:val="20"/>
        </w:rPr>
        <w:t xml:space="preserve">showed that there was an association between the RNL of patients who were infected and not infected with </w:t>
      </w:r>
      <w:r w:rsidR="00924819" w:rsidRPr="00B53540">
        <w:rPr>
          <w:i/>
          <w:sz w:val="20"/>
          <w:szCs w:val="20"/>
        </w:rPr>
        <w:t>Helicobacter Pylori</w:t>
      </w:r>
      <w:r w:rsidR="00924819">
        <w:rPr>
          <w:sz w:val="20"/>
          <w:szCs w:val="20"/>
        </w:rPr>
        <w:t xml:space="preserve"> and Density of </w:t>
      </w:r>
      <w:r w:rsidR="00924819" w:rsidRPr="00B53540">
        <w:rPr>
          <w:i/>
          <w:sz w:val="20"/>
          <w:szCs w:val="20"/>
        </w:rPr>
        <w:t>Helicobacter Pylori</w:t>
      </w:r>
      <w:r w:rsidR="00924819">
        <w:rPr>
          <w:sz w:val="20"/>
          <w:szCs w:val="20"/>
        </w:rPr>
        <w:t xml:space="preserve"> (p – value) = 0.000. This relationship is in accordance with the </w:t>
      </w:r>
      <w:proofErr w:type="gramStart"/>
      <w:r w:rsidR="00924819">
        <w:rPr>
          <w:sz w:val="20"/>
          <w:szCs w:val="20"/>
        </w:rPr>
        <w:t>decision making</w:t>
      </w:r>
      <w:proofErr w:type="gramEnd"/>
      <w:r w:rsidR="00924819">
        <w:rPr>
          <w:sz w:val="20"/>
          <w:szCs w:val="20"/>
        </w:rPr>
        <w:t xml:space="preserve"> requirements for the r-spearman test, the significance value (p - value) &lt; 0.05. In the guidelines for the strength of the relationship, there was a very strong correlation of 0.960 at (0.76 – 0.99) with a negative direction for </w:t>
      </w:r>
      <w:r w:rsidR="00924819" w:rsidRPr="001465C4">
        <w:rPr>
          <w:sz w:val="20"/>
          <w:szCs w:val="20"/>
        </w:rPr>
        <w:t xml:space="preserve">the </w:t>
      </w:r>
      <w:proofErr w:type="gramStart"/>
      <w:r w:rsidR="00924819" w:rsidRPr="001465C4">
        <w:rPr>
          <w:sz w:val="20"/>
          <w:szCs w:val="20"/>
        </w:rPr>
        <w:t>amount</w:t>
      </w:r>
      <w:proofErr w:type="gramEnd"/>
      <w:r w:rsidR="00924819" w:rsidRPr="001465C4">
        <w:rPr>
          <w:sz w:val="20"/>
          <w:szCs w:val="20"/>
        </w:rPr>
        <w:t xml:space="preserve"> of neutrophil lymphocytes in patients compared to the density of stomach tissue with </w:t>
      </w:r>
      <w:r w:rsidR="00924819" w:rsidRPr="001465C4">
        <w:rPr>
          <w:i/>
          <w:sz w:val="20"/>
          <w:szCs w:val="20"/>
        </w:rPr>
        <w:t>Helicobacter Pylori</w:t>
      </w:r>
      <w:r w:rsidR="00924819" w:rsidRPr="001465C4">
        <w:rPr>
          <w:sz w:val="20"/>
          <w:szCs w:val="20"/>
        </w:rPr>
        <w:t xml:space="preserve"> bacteria</w:t>
      </w:r>
      <w:r w:rsidR="00924819">
        <w:rPr>
          <w:sz w:val="20"/>
          <w:szCs w:val="20"/>
        </w:rPr>
        <w:t xml:space="preserve">. The meaning of the correlation coefficient sign in the results of data analysis shows a negative sign (-) indicating an inverse relationship, </w:t>
      </w:r>
      <w:r w:rsidR="00924819">
        <w:rPr>
          <w:sz w:val="20"/>
          <w:szCs w:val="20"/>
        </w:rPr>
        <w:lastRenderedPageBreak/>
        <w:t xml:space="preserve">the higher the neutrophil lymphocyte ratio value, the lower the density level of </w:t>
      </w:r>
      <w:r w:rsidR="00924819" w:rsidRPr="00B53540">
        <w:rPr>
          <w:i/>
          <w:sz w:val="20"/>
          <w:szCs w:val="20"/>
        </w:rPr>
        <w:t>Helicobacter Pylori</w:t>
      </w:r>
      <w:r w:rsidR="00924819">
        <w:rPr>
          <w:sz w:val="20"/>
          <w:szCs w:val="20"/>
        </w:rPr>
        <w:t xml:space="preserve"> bacteria in the gastric tissue of gastritis patients at RSPAL dr. Ramelan Surabaya</w:t>
      </w:r>
      <w:r>
        <w:rPr>
          <w:sz w:val="20"/>
          <w:szCs w:val="20"/>
        </w:rPr>
        <w:t>.</w:t>
      </w:r>
    </w:p>
    <w:p w14:paraId="71C37E2C" w14:textId="77777777" w:rsidR="0091745E" w:rsidRPr="00842CBB" w:rsidRDefault="0091745E" w:rsidP="00CC401E">
      <w:pPr>
        <w:pStyle w:val="Heading1"/>
      </w:pPr>
      <w:r w:rsidRPr="00842CBB">
        <w:t>IV. DISCUSSION</w:t>
      </w:r>
    </w:p>
    <w:p w14:paraId="73CC5844" w14:textId="2D62CCA4" w:rsidR="005C3B7E" w:rsidRDefault="00924819" w:rsidP="009116D8">
      <w:pPr>
        <w:spacing w:line="240" w:lineRule="exact"/>
        <w:jc w:val="both"/>
        <w:rPr>
          <w:sz w:val="20"/>
          <w:szCs w:val="20"/>
        </w:rPr>
      </w:pPr>
      <w:r>
        <w:rPr>
          <w:sz w:val="20"/>
          <w:szCs w:val="20"/>
        </w:rPr>
        <w:t xml:space="preserve">Research on the analysis of the neutrophil lymphocyte ratio (RNL) and the density level of </w:t>
      </w:r>
      <w:r w:rsidRPr="00B53540">
        <w:rPr>
          <w:i/>
          <w:sz w:val="20"/>
          <w:szCs w:val="20"/>
        </w:rPr>
        <w:t>Helicobacter Pylori</w:t>
      </w:r>
      <w:r>
        <w:rPr>
          <w:sz w:val="20"/>
          <w:szCs w:val="20"/>
        </w:rPr>
        <w:t xml:space="preserve"> bacteria in the tissues of gastritis patients at RSPAL dr. Ramelan Surabaya. The 60 samples used in this study were divided into two, namely; gastritis patients with </w:t>
      </w:r>
      <w:r w:rsidRPr="00B53540">
        <w:rPr>
          <w:i/>
          <w:sz w:val="20"/>
          <w:szCs w:val="20"/>
        </w:rPr>
        <w:t>Helicobacter Pylori</w:t>
      </w:r>
      <w:r>
        <w:rPr>
          <w:sz w:val="20"/>
          <w:szCs w:val="20"/>
        </w:rPr>
        <w:t xml:space="preserve"> infection were 27 patients and 33 patients were not infected with </w:t>
      </w:r>
      <w:r>
        <w:rPr>
          <w:i/>
          <w:sz w:val="20"/>
          <w:szCs w:val="20"/>
        </w:rPr>
        <w:t>Helicobacter</w:t>
      </w:r>
      <w:r w:rsidRPr="00B53540">
        <w:rPr>
          <w:i/>
          <w:sz w:val="20"/>
          <w:szCs w:val="20"/>
        </w:rPr>
        <w:t xml:space="preserve"> Pylori </w:t>
      </w:r>
      <w:r>
        <w:rPr>
          <w:sz w:val="20"/>
          <w:szCs w:val="20"/>
        </w:rPr>
        <w:t>bacteria. The highest frequency of gastritis incidence is in the age range of 51-60 as many as 18 patients, this is in accordance with research conducted by (</w:t>
      </w:r>
      <w:proofErr w:type="spellStart"/>
      <w:r>
        <w:rPr>
          <w:sz w:val="20"/>
          <w:szCs w:val="20"/>
        </w:rPr>
        <w:t>Ariefiany</w:t>
      </w:r>
      <w:proofErr w:type="spellEnd"/>
      <w:r>
        <w:rPr>
          <w:sz w:val="20"/>
          <w:szCs w:val="20"/>
        </w:rPr>
        <w:t xml:space="preserve"> et al., 2014)</w:t>
      </w:r>
      <w:r>
        <w:rPr>
          <w:sz w:val="20"/>
          <w:szCs w:val="20"/>
        </w:rPr>
        <w:fldChar w:fldCharType="begin" w:fldLock="1"/>
      </w:r>
      <w:r>
        <w:rPr>
          <w:sz w:val="20"/>
          <w:szCs w:val="20"/>
        </w:rPr>
        <w:instrText>ADDIN CSL_CITATION {"citationItems":[{"id":"ITEM-1","itemData":{"author":[{"dropping-particle":"","family":"Ariefiany","given":"Deassy","non-dropping-particle":"","parse-names":false,"suffix":""},{"dropping-particle":"","family":"Hassan","given":"Abdul Hadi","non-dropping-particle":"","parse-names":false,"suffix":""},{"dropping-particle":"","family":"Dewayani","given":"Birgitta M","non-dropping-particle":"","parse-names":false,"suffix":""},{"dropping-particle":"","family":"Yantisetiasti","given":"Anglita","non-dropping-particle":"","parse-names":false,"suffix":""}],"id":"ITEM-1","issue":"2","issued":{"date-parts":[["2014"]]},"title":"Analisis Gambaran Histopatologi Gastritis Kronik dengan dan Tanpa Bakteri Helicobacter pylori Menurut Sistem Sydney","type":"article-journal","volume":"23"},"uris":["http://www.mendeley.com/documents/?uuid=ef227de0-ab7c-4044-9c45-f6a7e63781a8"]}],"mendeley":{"formattedCitation":"[19]","plainTextFormattedCitation":"[19]","previouslyFormattedCitation":"[19]"},"properties":{"noteIndex":0},"schema":"https://github.com/citation-style-language/schema/raw/master/csl-citation.json"}</w:instrText>
      </w:r>
      <w:r>
        <w:rPr>
          <w:sz w:val="20"/>
          <w:szCs w:val="20"/>
        </w:rPr>
        <w:fldChar w:fldCharType="separate"/>
      </w:r>
      <w:r w:rsidRPr="000137F7">
        <w:rPr>
          <w:noProof/>
          <w:sz w:val="20"/>
          <w:szCs w:val="20"/>
        </w:rPr>
        <w:t>[19]</w:t>
      </w:r>
      <w:r>
        <w:rPr>
          <w:sz w:val="20"/>
          <w:szCs w:val="20"/>
        </w:rPr>
        <w:fldChar w:fldCharType="end"/>
      </w:r>
      <w:r>
        <w:rPr>
          <w:sz w:val="20"/>
          <w:szCs w:val="20"/>
        </w:rPr>
        <w:t xml:space="preserve"> with a percentage of age 51-60 years of 26.7% of 30 respondents. According to </w:t>
      </w:r>
      <w:r>
        <w:rPr>
          <w:sz w:val="20"/>
          <w:szCs w:val="20"/>
        </w:rPr>
        <w:fldChar w:fldCharType="begin" w:fldLock="1"/>
      </w:r>
      <w:r>
        <w:rPr>
          <w:sz w:val="20"/>
          <w:szCs w:val="20"/>
        </w:rPr>
        <w:instrText>ADDIN CSL_CITATION {"citationItems":[{"id":"ITEM-1","itemData":{"abstract":"Latar Belakang: Dispepsia merupakan sindrom yang meliputi satu atau lebih dari gejala-gejala yang terdiri dari nyeri, rasa terbakar di ulu hati, rasa cepat kenyang, perut terasa penuh, dan gejala berlangsung sedikitnya dalam 3 bulan terakhir, dengan awal mula gejala sedikitnya timbul 6 bulan sebelum diagnosis. Esofagogastroduodenoskopi menjadi baku emas dalam pengelolaan pasien dispepsia, menentukan diagnosa dan pemberian terapi Tujuan: Mengetahui gambaran hasil pemeriksaan Esofagogastroduodenoskopi pada penderita sindrom dispepsia di RSU Santo Antonius Pontianak Metodologi: Penelitian deskriptif dengan pendekatan retrospektif. Sampel penelitian adalah semua populasi yang memenuhi kriteria inklusi dan eksklusi serta menggunakan total sampling dari seluruh rekam medis pasien sindrom dispepsia. Variabel bebas penelitian ini adalah sindrom dispepsia dan variabel terikatnya adalah hasil pemeriksaan EGD. Hasil: Pada pemeriksaan EGD didapatkan Gastritis (78,4%), Ulkus ventrikuli (7,4%), Esofagitis (3,5%), Ulkus peptikum (2,7%), Ulkus duodenum (0,5%), Gastropati hipertensi porta (2,1%), Varises esophagus (0,4%), Gastroduodenitis (2,1%), Keganasan (2,7%), dan Esofagus Barret (0,2%). Gastritis (78,4%) lebih banyak ditemukan pada kelompok usia 37-47 tahun (28,8%), dan lebih banyak ditemukan pada perempuan. Kesimpulan: Gambaran hasil pemeriksaan EGD pada penderita dispepsia terbanyak adalah Gastritis, Ulkus Ventrikuli, dan terendah pada Keganasan dan Barret esophagus. Kata","author":[{"dropping-particle":"","family":"Pramita","given":"Lia","non-dropping-particle":"","parse-names":false,"suffix":""},{"dropping-particle":"","family":"Uwan","given":"Willy B","non-dropping-particle":"","parse-names":false,"suffix":""},{"dropping-particle":"","family":"Kahtan","given":"M. Ibnu","non-dropping-particle":"","parse-names":false,"suffix":""}],"id":"ITEM-1","issued":{"date-parts":[["2016"]]},"page":"3-11","title":"GAMBARAN HASIL PEMERIKSAAN ESOFAGOGASTRODUODENOSKOPI PADA PENDERITA SINDROM DISPEPSIA DI RUMAH SAKIT UMUM SANTO ANTONIUS PONTIANAK TAHUN 2015-2016","type":"article-journal"},"uris":["http://www.mendeley.com/documents/?uuid=a107f7a2-c8db-4abb-af0a-0afee023a027"]}],"mendeley":{"formattedCitation":"[20]","manualFormatting":"Pramita et al., (2016)","plainTextFormattedCitation":"[20]","previouslyFormattedCitation":"[20]"},"properties":{"noteIndex":0},"schema":"https://github.com/citation-style-language/schema/raw/master/csl-citation.json"}</w:instrText>
      </w:r>
      <w:r>
        <w:rPr>
          <w:sz w:val="20"/>
          <w:szCs w:val="20"/>
        </w:rPr>
        <w:fldChar w:fldCharType="separate"/>
      </w:r>
      <w:r>
        <w:rPr>
          <w:noProof/>
          <w:sz w:val="20"/>
          <w:szCs w:val="20"/>
        </w:rPr>
        <w:t>Pramita et al., (2016)</w:t>
      </w:r>
      <w:r>
        <w:rPr>
          <w:sz w:val="20"/>
          <w:szCs w:val="20"/>
        </w:rPr>
        <w:fldChar w:fldCharType="end"/>
      </w:r>
      <w:r>
        <w:rPr>
          <w:sz w:val="20"/>
          <w:szCs w:val="20"/>
        </w:rPr>
        <w:t xml:space="preserve"> </w:t>
      </w:r>
      <w:r>
        <w:rPr>
          <w:sz w:val="20"/>
          <w:szCs w:val="20"/>
        </w:rPr>
        <w:fldChar w:fldCharType="begin" w:fldLock="1"/>
      </w:r>
      <w:r>
        <w:rPr>
          <w:sz w:val="20"/>
          <w:szCs w:val="20"/>
        </w:rPr>
        <w:instrText>ADDIN CSL_CITATION {"citationItems":[{"id":"ITEM-1","itemData":{"abstract":"Latar Belakang: Dispepsia merupakan sindrom yang meliputi satu atau lebih dari gejala-gejala yang terdiri dari nyeri, rasa terbakar di ulu hati, rasa cepat kenyang, perut terasa penuh, dan gejala berlangsung sedikitnya dalam 3 bulan terakhir, dengan awal mula gejala sedikitnya timbul 6 bulan sebelum diagnosis. Esofagogastroduodenoskopi menjadi baku emas dalam pengelolaan pasien dispepsia, menentukan diagnosa dan pemberian terapi Tujuan: Mengetahui gambaran hasil pemeriksaan Esofagogastroduodenoskopi pada penderita sindrom dispepsia di RSU Santo Antonius Pontianak Metodologi: Penelitian deskriptif dengan pendekatan retrospektif. Sampel penelitian adalah semua populasi yang memenuhi kriteria inklusi dan eksklusi serta menggunakan total sampling dari seluruh rekam medis pasien sindrom dispepsia. Variabel bebas penelitian ini adalah sindrom dispepsia dan variabel terikatnya adalah hasil pemeriksaan EGD. Hasil: Pada pemeriksaan EGD didapatkan Gastritis (78,4%), Ulkus ventrikuli (7,4%), Esofagitis (3,5%), Ulkus peptikum (2,7%), Ulkus duodenum (0,5%), Gastropati hipertensi porta (2,1%), Varises esophagus (0,4%), Gastroduodenitis (2,1%), Keganasan (2,7%), dan Esofagus Barret (0,2%). Gastritis (78,4%) lebih banyak ditemukan pada kelompok usia 37-47 tahun (28,8%), dan lebih banyak ditemukan pada perempuan. Kesimpulan: Gambaran hasil pemeriksaan EGD pada penderita dispepsia terbanyak adalah Gastritis, Ulkus Ventrikuli, dan terendah pada Keganasan dan Barret esophagus. Kata","author":[{"dropping-particle":"","family":"Pramita","given":"Lia","non-dropping-particle":"","parse-names":false,"suffix":""},{"dropping-particle":"","family":"Uwan","given":"Willy B","non-dropping-particle":"","parse-names":false,"suffix":""},{"dropping-particle":"","family":"Kahtan","given":"M. Ibnu","non-dropping-particle":"","parse-names":false,"suffix":""}],"id":"ITEM-1","issued":{"date-parts":[["2016"]]},"page":"3-11","title":"GAMBARAN HASIL PEMERIKSAAN ESOFAGOGASTRODUODENOSKOPI PADA PENDERITA SINDROM DISPEPSIA DI RUMAH SAKIT UMUM SANTO ANTONIUS PONTIANAK TAHUN 2015-2016","type":"article-journal"},"uris":["http://www.mendeley.com/documents/?uuid=a107f7a2-c8db-4abb-af0a-0afee023a027"]}],"mendeley":{"formattedCitation":"[20]","plainTextFormattedCitation":"[20]","previouslyFormattedCitation":"[20]"},"properties":{"noteIndex":0},"schema":"https://github.com/citation-style-language/schema/raw/master/csl-citation.json"}</w:instrText>
      </w:r>
      <w:r>
        <w:rPr>
          <w:sz w:val="20"/>
          <w:szCs w:val="20"/>
        </w:rPr>
        <w:fldChar w:fldCharType="separate"/>
      </w:r>
      <w:r w:rsidRPr="000137F7">
        <w:rPr>
          <w:noProof/>
          <w:sz w:val="20"/>
          <w:szCs w:val="20"/>
        </w:rPr>
        <w:t>[20]</w:t>
      </w:r>
      <w:r>
        <w:rPr>
          <w:sz w:val="20"/>
          <w:szCs w:val="20"/>
        </w:rPr>
        <w:fldChar w:fldCharType="end"/>
      </w:r>
      <w:r w:rsidR="00460B55">
        <w:rPr>
          <w:sz w:val="20"/>
          <w:szCs w:val="20"/>
        </w:rPr>
        <w:t xml:space="preserve"> </w:t>
      </w:r>
      <w:r>
        <w:rPr>
          <w:sz w:val="20"/>
          <w:szCs w:val="20"/>
        </w:rPr>
        <w:t xml:space="preserve">In the elderly, the stomach wall becomes thinner, the production of mucus as a barrier decreases, so that the gastric mucosal layer is easily damaged and easily infected with </w:t>
      </w:r>
      <w:r w:rsidRPr="00B53540">
        <w:rPr>
          <w:i/>
          <w:sz w:val="20"/>
          <w:szCs w:val="20"/>
        </w:rPr>
        <w:t>Helicobacter Pylori</w:t>
      </w:r>
      <w:r>
        <w:rPr>
          <w:sz w:val="20"/>
          <w:szCs w:val="20"/>
        </w:rPr>
        <w:t>. Autoimmune diseases are also common in the elderly, and at this age tend to have a bad diet.</w:t>
      </w:r>
    </w:p>
    <w:p w14:paraId="540A92BF" w14:textId="77777777" w:rsidR="00924819" w:rsidRDefault="00924819" w:rsidP="00924819">
      <w:pPr>
        <w:spacing w:line="240" w:lineRule="exact"/>
        <w:ind w:firstLine="180"/>
        <w:jc w:val="both"/>
        <w:rPr>
          <w:sz w:val="20"/>
          <w:szCs w:val="20"/>
        </w:rPr>
      </w:pPr>
      <w:r>
        <w:rPr>
          <w:sz w:val="20"/>
          <w:szCs w:val="20"/>
        </w:rPr>
        <w:t xml:space="preserve">Infection caused by </w:t>
      </w:r>
      <w:r w:rsidRPr="00B53540">
        <w:rPr>
          <w:i/>
          <w:sz w:val="20"/>
          <w:szCs w:val="20"/>
        </w:rPr>
        <w:t>Helicobacter Pylori</w:t>
      </w:r>
      <w:r>
        <w:rPr>
          <w:sz w:val="20"/>
          <w:szCs w:val="20"/>
        </w:rPr>
        <w:t xml:space="preserve"> bacteria in gastric tissue in the lamina propria layer causes gastritis inflammation which is characterized by inflammatory cell infiltration that predominates among inflamed tissue cells. Gastritis caused by infection with </w:t>
      </w:r>
      <w:r w:rsidRPr="00B53540">
        <w:rPr>
          <w:i/>
          <w:sz w:val="20"/>
          <w:szCs w:val="20"/>
        </w:rPr>
        <w:t>Helicobacter Pylori</w:t>
      </w:r>
      <w:r>
        <w:rPr>
          <w:sz w:val="20"/>
          <w:szCs w:val="20"/>
        </w:rPr>
        <w:t xml:space="preserve"> bacteria is chronic gastritis. </w:t>
      </w:r>
      <w:r w:rsidRPr="00B53540">
        <w:rPr>
          <w:i/>
          <w:sz w:val="20"/>
          <w:szCs w:val="20"/>
        </w:rPr>
        <w:t>Helicobacter Pylori</w:t>
      </w:r>
      <w:r>
        <w:rPr>
          <w:sz w:val="20"/>
          <w:szCs w:val="20"/>
        </w:rPr>
        <w:t xml:space="preserve"> bacteria produce VAC (Vacuolating Cytotoxin Cell). Thus, it will cause "vacuoles" or bubbles in the infected gastric tissue. The more cytotoxic the strain, the more active, clear, and more aggressive in chronic gastritis </w:t>
      </w:r>
      <w:r>
        <w:rPr>
          <w:sz w:val="20"/>
          <w:szCs w:val="20"/>
        </w:rPr>
        <w:fldChar w:fldCharType="begin" w:fldLock="1"/>
      </w:r>
      <w:r>
        <w:rPr>
          <w:sz w:val="20"/>
          <w:szCs w:val="20"/>
        </w:rPr>
        <w:instrText>ADDIN CSL_CITATION {"citationItems":[{"id":"ITEM-1","itemData":{"DOI":"10.3109/00365521.2015.1019918","author":[{"dropping-particle":"","family":"Sipponen","given":"Pentti","non-dropping-particle":"","parse-names":false,"suffix":""},{"dropping-particle":"","family":"Maaroos","given":"Heidi-ingrid","non-dropping-particle":"","parse-names":false,"suffix":""}],"id":"ITEM-1","issued":{"date-parts":[["2015"]]},"title":"Chronic gastritis Chronic gastritis","type":"article-journal","volume":"5521"},"uris":["http://www.mendeley.com/documents/?uuid=9a982497-1b67-4695-9e62-f27b1cf026a1"]}],"mendeley":{"formattedCitation":"[21]","plainTextFormattedCitation":"[21]","previouslyFormattedCitation":"[21]"},"properties":{"noteIndex":0},"schema":"https://github.com/citation-style-language/schema/raw/master/csl-citation.json"}</w:instrText>
      </w:r>
      <w:r>
        <w:rPr>
          <w:sz w:val="20"/>
          <w:szCs w:val="20"/>
        </w:rPr>
        <w:fldChar w:fldCharType="separate"/>
      </w:r>
      <w:r w:rsidRPr="000137F7">
        <w:rPr>
          <w:noProof/>
          <w:sz w:val="20"/>
          <w:szCs w:val="20"/>
        </w:rPr>
        <w:t>[21]</w:t>
      </w:r>
      <w:r>
        <w:rPr>
          <w:sz w:val="20"/>
          <w:szCs w:val="20"/>
        </w:rPr>
        <w:fldChar w:fldCharType="end"/>
      </w:r>
      <w:r>
        <w:rPr>
          <w:sz w:val="20"/>
          <w:szCs w:val="20"/>
        </w:rPr>
        <w:t>.</w:t>
      </w:r>
    </w:p>
    <w:p w14:paraId="34AC9DD4" w14:textId="77777777" w:rsidR="00924819" w:rsidRDefault="00924819" w:rsidP="00924819">
      <w:pPr>
        <w:spacing w:line="240" w:lineRule="exact"/>
        <w:ind w:firstLine="180"/>
        <w:jc w:val="both"/>
        <w:rPr>
          <w:sz w:val="20"/>
          <w:szCs w:val="20"/>
        </w:rPr>
      </w:pPr>
      <w:r w:rsidRPr="001465C4">
        <w:rPr>
          <w:sz w:val="20"/>
          <w:szCs w:val="20"/>
        </w:rPr>
        <w:t xml:space="preserve">Different virulence factors laid by </w:t>
      </w:r>
      <w:r w:rsidRPr="001465C4">
        <w:rPr>
          <w:i/>
          <w:sz w:val="20"/>
          <w:szCs w:val="20"/>
        </w:rPr>
        <w:t>Helicobacter pylori</w:t>
      </w:r>
      <w:r w:rsidRPr="001465C4">
        <w:rPr>
          <w:sz w:val="20"/>
          <w:szCs w:val="20"/>
        </w:rPr>
        <w:t>, including urease, flagella, vacuolating cytotoxin A (VACA), and cytotoxin associated gene A (</w:t>
      </w:r>
      <w:proofErr w:type="spellStart"/>
      <w:r w:rsidRPr="001465C4">
        <w:rPr>
          <w:sz w:val="20"/>
          <w:szCs w:val="20"/>
        </w:rPr>
        <w:t>CagA</w:t>
      </w:r>
      <w:proofErr w:type="spellEnd"/>
      <w:r w:rsidRPr="001465C4">
        <w:rPr>
          <w:sz w:val="20"/>
          <w:szCs w:val="20"/>
        </w:rPr>
        <w:t>), are crucial for invasion, colonization, and proliferation. proliferation of cells</w:t>
      </w:r>
      <w:r w:rsidRPr="001465C4">
        <w:rPr>
          <w:i/>
          <w:sz w:val="20"/>
          <w:szCs w:val="20"/>
        </w:rPr>
        <w:t xml:space="preserve"> </w:t>
      </w:r>
      <w:r>
        <w:rPr>
          <w:sz w:val="20"/>
          <w:szCs w:val="20"/>
        </w:rPr>
        <w:t>and gastric mucosal metaplasia. The increase in the degree of inflammatory cell infiltration caused by the production of cytotoxin associated gene A (</w:t>
      </w:r>
      <w:proofErr w:type="spellStart"/>
      <w:r>
        <w:rPr>
          <w:sz w:val="20"/>
          <w:szCs w:val="20"/>
        </w:rPr>
        <w:t>CagA</w:t>
      </w:r>
      <w:proofErr w:type="spellEnd"/>
      <w:r>
        <w:rPr>
          <w:sz w:val="20"/>
          <w:szCs w:val="20"/>
        </w:rPr>
        <w:t xml:space="preserve">) by </w:t>
      </w:r>
      <w:r w:rsidRPr="00B53540">
        <w:rPr>
          <w:i/>
          <w:sz w:val="20"/>
          <w:szCs w:val="20"/>
        </w:rPr>
        <w:t>Helicobacter Pylori</w:t>
      </w:r>
      <w:r>
        <w:rPr>
          <w:sz w:val="20"/>
          <w:szCs w:val="20"/>
        </w:rPr>
        <w:t xml:space="preserve"> bacteria in gastric tissue is supported by research conducted by (</w:t>
      </w:r>
      <w:proofErr w:type="spellStart"/>
      <w:r>
        <w:rPr>
          <w:sz w:val="20"/>
          <w:szCs w:val="20"/>
        </w:rPr>
        <w:t>Dja'far</w:t>
      </w:r>
      <w:proofErr w:type="spellEnd"/>
      <w:r>
        <w:rPr>
          <w:sz w:val="20"/>
          <w:szCs w:val="20"/>
        </w:rPr>
        <w:t xml:space="preserve"> et al., 2019) </w:t>
      </w:r>
      <w:r>
        <w:rPr>
          <w:sz w:val="20"/>
          <w:szCs w:val="20"/>
        </w:rPr>
        <w:fldChar w:fldCharType="begin" w:fldLock="1"/>
      </w:r>
      <w:r>
        <w:rPr>
          <w:sz w:val="20"/>
          <w:szCs w:val="20"/>
        </w:rPr>
        <w:instrText>ADDIN CSL_CITATION {"citationItems":[{"id":"ITEM-1","itemData":{"abstract":"Abstrak. Pendahuluan: Helicobacter pylori (H.pylori) merupakan penyebab tersering gastritis kronik aktif di seluruh dunia yaitu sekitar 80%. Gastritis kronis yang berkepanjangan beresiko menjadi atrofi dan metaplasia pada mukosa lambung yang mengarah terjadinya karsinoma gaster. H.pylori membawa faktor virulensi yang berbeda seperti urease, flagellar, VacA dan CagA yang memegang peranan penting dalam invasi, kolonisasi dan proliferasi. Tujuan: Untuk mengetahui hubungan H.pylori CagA positif dan negaatif dengan derajat keparahan gastritis berdasarkan histopatologi. Metode: Penelitian dilakukan dengan desain cross sectional terhadap 30 penderita dyspepsia berdasarkan kriteria Roma III, menggunakan PADYQ skore. Hasil: Dari 30 subyek 18 orang pria dan 14 orang perempuan dengan rerata umur 53.3 tahun, didapati lebih banyak subjek dengan gastritis H.Pylori CagA(+) 21 orang(70%) dan CagA(-) 9 orang(30%). Maka didapati hubungan yang signifikan antara status CagA dengan derajat inflamasi kronik (p=0.032) di mana pasien H. pylori dengan CagA (+) beresiko 3.43 x mengalami gastritis dengan inflamasi kronik, derajat infiltrasi neutrofil (p=0.037) dengan resiko 4.5 x mengalami gastritis dengan infiltrasi neutrofil, dan derajat atrofi (p=0.041) resiko 2.17x mengalami gastritis dengan atrofi derajat sedang+berat. Tetapi tidak didapati hubungan yang signifikan secara statistic antara status CagA dengan derajat metaplasia intestinal (p=0.077). Kesimpulan: Terdapat hubungan yang signifikan antara status H.pylori CagA dengan derajat inflamasi kronik, derajat infiltrasi neutrofil dan derajat atrofi. Tidak terdapat hubungan yang signifikan antara status CagA dengan derajat metaplasia intestinal. Kata Kunci: Gastritis, H.pylori, CagA, Histopatologi 1.","author":[{"dropping-particle":"","family":"Dja’far","given":"Fithria Alaina","non-dropping-particle":"","parse-names":false,"suffix":""},{"dropping-particle":"","family":"Laksmi","given":"Lidya Imelda","non-dropping-particle":"","parse-names":false,"suffix":""},{"dropping-particle":"","family":"Lubis","given":"Masrul","non-dropping-particle":"","parse-names":false,"suffix":""},{"dropping-particle":"","family":"Siregar","given":"Gontar Alamsyah","non-dropping-particle":"","parse-names":false,"suffix":""}],"container-title":"The Journal of Medical School","id":"ITEM-1","issue":"2","issued":{"date-parts":[["2019"]]},"page":"56-60","title":"Hubungan Helicobacter Pylori Cytotoxin-Associated Gene A (CagA) Positif dan Negatif dengan Derajat Keparahan Gastritis Berdasarkan Histopatologi","type":"article-journal","volume":"52"},"uris":["http://www.mendeley.com/documents/?uuid=b7581953-4e7f-4d83-9033-550d39a10062"]}],"mendeley":{"formattedCitation":"[22]","plainTextFormattedCitation":"[22]","previouslyFormattedCitation":"[22]"},"properties":{"noteIndex":0},"schema":"https://github.com/citation-style-language/schema/raw/master/csl-citation.json"}</w:instrText>
      </w:r>
      <w:r>
        <w:rPr>
          <w:sz w:val="20"/>
          <w:szCs w:val="20"/>
        </w:rPr>
        <w:fldChar w:fldCharType="separate"/>
      </w:r>
      <w:r w:rsidRPr="000137F7">
        <w:rPr>
          <w:noProof/>
          <w:sz w:val="20"/>
          <w:szCs w:val="20"/>
        </w:rPr>
        <w:t>[22]</w:t>
      </w:r>
      <w:r>
        <w:rPr>
          <w:sz w:val="20"/>
          <w:szCs w:val="20"/>
        </w:rPr>
        <w:fldChar w:fldCharType="end"/>
      </w:r>
      <w:r>
        <w:rPr>
          <w:sz w:val="20"/>
          <w:szCs w:val="20"/>
        </w:rPr>
        <w:t>.</w:t>
      </w:r>
    </w:p>
    <w:p w14:paraId="1FC6B265" w14:textId="2DDDF78F" w:rsidR="005C3B7E" w:rsidRDefault="00924819" w:rsidP="00924819">
      <w:pPr>
        <w:spacing w:line="240" w:lineRule="exact"/>
        <w:ind w:firstLine="180"/>
        <w:jc w:val="both"/>
        <w:rPr>
          <w:rFonts w:cstheme="minorBidi"/>
          <w:sz w:val="20"/>
          <w:szCs w:val="20"/>
        </w:rPr>
      </w:pPr>
      <w:r>
        <w:rPr>
          <w:i/>
          <w:sz w:val="20"/>
          <w:szCs w:val="20"/>
        </w:rPr>
        <w:t xml:space="preserve">Helicobacter </w:t>
      </w:r>
      <w:r w:rsidR="00082E72">
        <w:rPr>
          <w:i/>
          <w:sz w:val="20"/>
          <w:szCs w:val="20"/>
        </w:rPr>
        <w:t xml:space="preserve">pylori </w:t>
      </w:r>
      <w:r w:rsidR="00082E72">
        <w:rPr>
          <w:sz w:val="20"/>
          <w:szCs w:val="20"/>
        </w:rPr>
        <w:t>cause</w:t>
      </w:r>
      <w:r>
        <w:rPr>
          <w:sz w:val="20"/>
          <w:szCs w:val="20"/>
        </w:rPr>
        <w:t xml:space="preserve"> persistent inflammation of the stomach. This inflammatory response initially consists of neutrophil withdrawal, followed by T and B lymphocytes, plasma cells, and macrophages, along with epithelial cell damage </w:t>
      </w:r>
      <w:r>
        <w:rPr>
          <w:sz w:val="20"/>
          <w:szCs w:val="20"/>
        </w:rPr>
        <w:fldChar w:fldCharType="begin" w:fldLock="1"/>
      </w:r>
      <w:r>
        <w:rPr>
          <w:sz w:val="20"/>
          <w:szCs w:val="20"/>
        </w:rPr>
        <w:instrText>ADDIN CSL_CITATION {"citationItems":[{"id":"ITEM-1","itemData":{"DOI":"10.3109/00365521.2015.1019918","author":[{"dropping-particle":"","family":"Sipponen","given":"Pentti","non-dropping-particle":"","parse-names":false,"suffix":""},{"dropping-particle":"","family":"Maaroos","given":"Heidi-ingrid","non-dropping-particle":"","parse-names":false,"suffix":""}],"id":"ITEM-1","issued":{"date-parts":[["2015"]]},"title":"Chronic gastritis Chronic gastritis","type":"article-journal","volume":"5521"},"uris":["http://www.mendeley.com/documents/?uuid=17873181-7093-47ef-bf70-5863d2a8ece7"]}],"mendeley":{"formattedCitation":"[21]","plainTextFormattedCitation":"[21]","previouslyFormattedCitation":"[21]"},"properties":{"noteIndex":0},"schema":"https://github.com/citation-style-language/schema/raw/master/csl-citation.json"}</w:instrText>
      </w:r>
      <w:r>
        <w:rPr>
          <w:sz w:val="20"/>
          <w:szCs w:val="20"/>
        </w:rPr>
        <w:fldChar w:fldCharType="separate"/>
      </w:r>
      <w:r w:rsidRPr="000137F7">
        <w:rPr>
          <w:noProof/>
          <w:sz w:val="20"/>
          <w:szCs w:val="20"/>
        </w:rPr>
        <w:t>[21]</w:t>
      </w:r>
      <w:r>
        <w:rPr>
          <w:sz w:val="20"/>
          <w:szCs w:val="20"/>
        </w:rPr>
        <w:fldChar w:fldCharType="end"/>
      </w:r>
      <w:r>
        <w:rPr>
          <w:sz w:val="20"/>
          <w:szCs w:val="20"/>
        </w:rPr>
        <w:t xml:space="preserve">. The immune response that occurs due to infection by the bacterium Helicobacter Pylori is the withdrawal of neutrophils in the tissue and an increase in neutrophils in the blood. Withdrawal of neutrophils from the tissue aims to reduce the occurrence of reactive oxygen species (ROS). The high ROS in the tissue will cause cell inflammation from DNA/RNA oxidation and initiate degenerative diseases </w:t>
      </w:r>
      <w:r>
        <w:rPr>
          <w:sz w:val="20"/>
          <w:szCs w:val="20"/>
        </w:rPr>
        <w:fldChar w:fldCharType="begin" w:fldLock="1"/>
      </w:r>
      <w:r>
        <w:rPr>
          <w:sz w:val="20"/>
          <w:szCs w:val="20"/>
        </w:rPr>
        <w:instrText>ADDIN CSL_CITATION {"citationItems":[{"id":"ITEM-1","itemData":{"ISSN":"00316911","author":[{"dropping-particle":"","family":"Parnham","given":"M. J.","non-dropping-particle":"","parse-names":false,"suffix":""}],"container-title":"Pharmaceutisch Weekblad","id":"ITEM-1","issue":"21","issued":{"date-parts":[["2020"]]},"page":"529-535","title":"Reactive oxygen species in inflammation and rheumatoid arthritis","type":"article-journal","volume":"125"},"uris":["http://www.mendeley.com/documents/?uuid=b54984e5-adcd-464f-9cfe-e9751024917d"]}],"mendeley":{"formattedCitation":"[23]","plainTextFormattedCitation":"[23]","previouslyFormattedCitation":"[23]"},"properties":{"noteIndex":0},"schema":"https://github.com/citation-style-language/schema/raw/master/csl-citation.json"}</w:instrText>
      </w:r>
      <w:r>
        <w:rPr>
          <w:sz w:val="20"/>
          <w:szCs w:val="20"/>
        </w:rPr>
        <w:fldChar w:fldCharType="separate"/>
      </w:r>
      <w:r w:rsidRPr="000137F7">
        <w:rPr>
          <w:noProof/>
          <w:sz w:val="20"/>
          <w:szCs w:val="20"/>
        </w:rPr>
        <w:t>[23]</w:t>
      </w:r>
      <w:r>
        <w:rPr>
          <w:sz w:val="20"/>
          <w:szCs w:val="20"/>
        </w:rPr>
        <w:fldChar w:fldCharType="end"/>
      </w:r>
      <w:r w:rsidR="005C3B7E">
        <w:rPr>
          <w:sz w:val="20"/>
          <w:szCs w:val="20"/>
        </w:rPr>
        <w:t>.</w:t>
      </w:r>
    </w:p>
    <w:p w14:paraId="0B3EE622" w14:textId="77777777" w:rsidR="00924819" w:rsidRDefault="00924819" w:rsidP="00924819">
      <w:pPr>
        <w:spacing w:line="240" w:lineRule="exact"/>
        <w:ind w:firstLine="180"/>
        <w:jc w:val="both"/>
        <w:rPr>
          <w:sz w:val="20"/>
          <w:szCs w:val="20"/>
        </w:rPr>
      </w:pPr>
      <w:r>
        <w:rPr>
          <w:sz w:val="20"/>
          <w:szCs w:val="20"/>
        </w:rPr>
        <w:t xml:space="preserve">The expression of MN (Mononuclear) cells in the tissue has increased. Gastritis sufferers on the expression of MN cells in the tissue, showing the number of MN cells in the tissue </w:t>
      </w:r>
      <w:r>
        <w:rPr>
          <w:sz w:val="20"/>
          <w:szCs w:val="20"/>
        </w:rPr>
        <w:fldChar w:fldCharType="begin" w:fldLock="1"/>
      </w:r>
      <w:r>
        <w:rPr>
          <w:sz w:val="20"/>
          <w:szCs w:val="20"/>
        </w:rPr>
        <w:instrText>ADDIN CSL_CITATION {"citationItems":[{"id":"ITEM-1","itemData":{"DOI":"10.1152/ajpgi.00475.2003","ISSN":"01931857","PMID":"15010360","abstract":"It is well established that cancer arises in chronically inflamed tissue, and this is particularly notable in the gastrointestinal tract. Classic examples include Helicobacter pylori-associated gastric cancer, hepatocellular carcinoma, and inflammatory bowel disease-associated colorectal cancer. There is growing evidence to suggest that this association is not coincidental but may indeed be causal. In this review, we discuss the role of chronic inflammation and cytokine gene polymorphisms in the pathogenesis of gastrointestinal malignancy and outline some of the possible mechanisms involved.","author":[{"dropping-particle":"","family":"Macarthur","given":"Mairi","non-dropping-particle":"","parse-names":false,"suffix":""},{"dropping-particle":"","family":"Hold","given":"Georgina L.","non-dropping-particle":"","parse-names":false,"suffix":""},{"dropping-particle":"","family":"El-Omar","given":"Emad M.","non-dropping-particle":"","parse-names":false,"suffix":""}],"container-title":"American Journal of Physiology - Gastrointestinal and Liver Physiology","id":"ITEM-1","issue":"4 49-4","issued":{"date-parts":[["2004"]]},"page":"515-520","title":"Inflammation and Cancer II. Role of chronic inflammation and cytokine gene polymorphisms in the pathogenesis of gastrointestinal malignancy","type":"article-journal","volume":"286"},"uris":["http://www.mendeley.com/documents/?uuid=d89a23d5-63e1-47f5-89fa-a40462c9dc05"]}],"mendeley":{"formattedCitation":"[24]","plainTextFormattedCitation":"[24]","previouslyFormattedCitation":"[24]"},"properties":{"noteIndex":0},"schema":"https://github.com/citation-style-language/schema/raw/master/csl-citation.json"}</w:instrText>
      </w:r>
      <w:r>
        <w:rPr>
          <w:sz w:val="20"/>
          <w:szCs w:val="20"/>
        </w:rPr>
        <w:fldChar w:fldCharType="separate"/>
      </w:r>
      <w:r w:rsidRPr="000137F7">
        <w:rPr>
          <w:noProof/>
          <w:sz w:val="20"/>
          <w:szCs w:val="20"/>
        </w:rPr>
        <w:t>[24]</w:t>
      </w:r>
      <w:r>
        <w:rPr>
          <w:sz w:val="20"/>
          <w:szCs w:val="20"/>
        </w:rPr>
        <w:fldChar w:fldCharType="end"/>
      </w:r>
      <w:r>
        <w:rPr>
          <w:sz w:val="20"/>
          <w:szCs w:val="20"/>
        </w:rPr>
        <w:t xml:space="preserve">. The increase is initiated by macrophages (mature monocytes) that produce the hormones interleukin-8 and interleukin-12 and send a response with Th0 cells to expand Th1 forming an intracellular response and Th2 extracellular response by B lymphocytes. in the tissue increases, to function as Cellular Mediated Immune in reducing inflammation in gastric tissue </w:t>
      </w:r>
      <w:r>
        <w:rPr>
          <w:sz w:val="20"/>
          <w:szCs w:val="20"/>
        </w:rPr>
        <w:fldChar w:fldCharType="begin" w:fldLock="1"/>
      </w:r>
      <w:r>
        <w:rPr>
          <w:sz w:val="20"/>
          <w:szCs w:val="20"/>
        </w:rPr>
        <w:instrText>ADDIN CSL_CITATION {"citationItems":[{"id":"ITEM-1","itemData":{"author":[{"dropping-particle":"","family":"Suardana","given":"Ida Bagus Kade","non-dropping-particle":"","parse-names":false,"suffix":""}],"container-title":"Http://Simdos.Unud.Ac.Id","id":"ITEM-1","issued":{"date-parts":[["2017"]]},"page":"1-36","title":"Diktat imunologi dasar sistem imun","type":"article-journal"},"uris":["http://www.mendeley.com/documents/?uuid=cd604be0-2c22-42ee-a88d-5c6cc4dffce3"]}],"mendeley":{"formattedCitation":"[25]","plainTextFormattedCitation":"[25]","previouslyFormattedCitation":"[25]"},"properties":{"noteIndex":0},"schema":"https://github.com/citation-style-language/schema/raw/master/csl-citation.json"}</w:instrText>
      </w:r>
      <w:r>
        <w:rPr>
          <w:sz w:val="20"/>
          <w:szCs w:val="20"/>
        </w:rPr>
        <w:fldChar w:fldCharType="separate"/>
      </w:r>
      <w:r w:rsidRPr="000137F7">
        <w:rPr>
          <w:noProof/>
          <w:sz w:val="20"/>
          <w:szCs w:val="20"/>
        </w:rPr>
        <w:t>[25]</w:t>
      </w:r>
      <w:r>
        <w:rPr>
          <w:sz w:val="20"/>
          <w:szCs w:val="20"/>
        </w:rPr>
        <w:fldChar w:fldCharType="end"/>
      </w:r>
      <w:r>
        <w:rPr>
          <w:sz w:val="20"/>
          <w:szCs w:val="20"/>
        </w:rPr>
        <w:t>.</w:t>
      </w:r>
    </w:p>
    <w:p w14:paraId="070F64C5" w14:textId="77777777" w:rsidR="00924819" w:rsidRDefault="00924819" w:rsidP="00924819">
      <w:pPr>
        <w:spacing w:line="240" w:lineRule="exact"/>
        <w:ind w:firstLine="180"/>
        <w:jc w:val="both"/>
        <w:rPr>
          <w:sz w:val="20"/>
          <w:szCs w:val="20"/>
        </w:rPr>
      </w:pPr>
      <w:r>
        <w:rPr>
          <w:sz w:val="20"/>
          <w:szCs w:val="20"/>
        </w:rPr>
        <w:t xml:space="preserve">In this study, the histopathological analysis slides reviewed under the 400x objective so that it would be easy to identify </w:t>
      </w:r>
      <w:r w:rsidRPr="00B53540">
        <w:rPr>
          <w:i/>
          <w:sz w:val="20"/>
          <w:szCs w:val="20"/>
        </w:rPr>
        <w:t>Helicobacter Pylori</w:t>
      </w:r>
      <w:r>
        <w:rPr>
          <w:sz w:val="20"/>
          <w:szCs w:val="20"/>
        </w:rPr>
        <w:t xml:space="preserve"> bacteria in gastric tissue. The results of the </w:t>
      </w:r>
      <w:proofErr w:type="spellStart"/>
      <w:r>
        <w:rPr>
          <w:sz w:val="20"/>
          <w:szCs w:val="20"/>
        </w:rPr>
        <w:t>haemogram</w:t>
      </w:r>
      <w:proofErr w:type="spellEnd"/>
      <w:r>
        <w:rPr>
          <w:sz w:val="20"/>
          <w:szCs w:val="20"/>
        </w:rPr>
        <w:t xml:space="preserve"> of gastritis patients used in this study, the value of neutrophils and lymphocytes also showed that the value of neutrophils and lymphocytes was higher. Thus, it can be processed entirely into the ratio of neutrophils to lymphocytes. The high value of the neutrophil lymphocyte ratio in patients with </w:t>
      </w:r>
      <w:r w:rsidRPr="00460B55">
        <w:rPr>
          <w:i/>
          <w:sz w:val="20"/>
          <w:szCs w:val="20"/>
        </w:rPr>
        <w:t>Helicobacter Pylori</w:t>
      </w:r>
      <w:r>
        <w:rPr>
          <w:sz w:val="20"/>
          <w:szCs w:val="20"/>
        </w:rPr>
        <w:t xml:space="preserve"> bacterial infection was proven in a study conducted by </w:t>
      </w:r>
      <w:r>
        <w:rPr>
          <w:sz w:val="20"/>
          <w:szCs w:val="20"/>
        </w:rPr>
        <w:fldChar w:fldCharType="begin" w:fldLock="1"/>
      </w:r>
      <w:r>
        <w:rPr>
          <w:sz w:val="20"/>
          <w:szCs w:val="20"/>
        </w:rPr>
        <w:instrText>ADDIN CSL_CITATION {"citationItems":[{"id":"ITEM-1","itemData":{"ISSN":"26975718","PMID":"23682441","abstract":"Elevated leukocyte counts can be a marker of inflammation and infection. The aim of this study was to determine the total leukocyte count and neutrophil-lymphocyte count ratio (NLCR) among Helicobacter pylori-infected patients with peptic ulcer disease (PU) and among asymptomatic subjects (AS) and to evaluate if there is an association between these lab values and the presence of the H. pylori virulence factor cytotoxin-associated gene A (CagA). Sixty H. pylori-infected PU patients, 63 AS carriers and 32 healthy H. pylori-negative subjects (controls) were included in the study. The total white blood cell (WBC) counts and differentials were determined using standard hematological methods. The mean total WBC count, mean neutrophil count and NLCR were significantly higher among PU patients than in controls (p&lt;0.001, p&lt;0.001 and p&lt;0.001, respectively). Similarly, the mean WBC count, mean neutrophil count and NLCR were significantly higher among AS patients than in controls (p&lt;0.005, p&lt;0.001 and p&lt;0.02, respectively). The differences of mean WBC counts mean neutrophil counts and NLCR were also significantly different (p&lt;0.005, p&lt;0.001 and p&lt;0.001, respectively) between the PU and AS patients. There were no differences in the PU and AS patients in regard to anti-CagA positivity. These results show the CagA factor was not associated with the presence or absence of symptoms in H. pylori infected patients.","author":[{"dropping-particle":"","family":"Jafarzadeh","given":"Abdollah","non-dropping-particle":"","parse-names":false,"suffix":""},{"dropping-particle":"","family":"Akbarpoor","given":"V.","non-dropping-particle":"","parse-names":false,"suffix":""},{"dropping-particle":"","family":"Nabizadeh","given":"M.","non-dropping-particle":"","parse-names":false,"suffix":""},{"dropping-particle":"","family":"Nemati","given":"M.","non-dropping-particle":"","parse-names":false,"suffix":""},{"dropping-particle":"","family":"Rezayati","given":"M. T.","non-dropping-particle":"","parse-names":false,"suffix":""}],"container-title":"Southeast Asian Journal of Tropical Medicine and Public Health","id":"ITEM-1","issue":"1","issued":{"date-parts":[["2013"]]},"page":"82-88","title":"Total leukocyte counts and neutrophil-lymphocyte count ratios among helicobacter pylori-infected patients with peptic ulcers: Independent of bacterial CagA status","type":"article-journal","volume":"44"},"uris":["http://www.mendeley.com/documents/?uuid=8284c14e-2d54-44ea-ba20-80e8dfe594ac"]}],"mendeley":{"formattedCitation":"[26]","manualFormatting":"Jafarzadeh et al., (2013)","plainTextFormattedCitation":"[26]","previouslyFormattedCitation":"[26]"},"properties":{"noteIndex":0},"schema":"https://github.com/citation-style-language/schema/raw/master/csl-citation.json"}</w:instrText>
      </w:r>
      <w:r>
        <w:rPr>
          <w:sz w:val="20"/>
          <w:szCs w:val="20"/>
        </w:rPr>
        <w:fldChar w:fldCharType="separate"/>
      </w:r>
      <w:r>
        <w:rPr>
          <w:noProof/>
          <w:sz w:val="20"/>
          <w:szCs w:val="20"/>
        </w:rPr>
        <w:t>Jafarzadeh et al., (2013)</w:t>
      </w:r>
      <w:r>
        <w:rPr>
          <w:sz w:val="20"/>
          <w:szCs w:val="20"/>
        </w:rPr>
        <w:fldChar w:fldCharType="end"/>
      </w:r>
      <w:r>
        <w:rPr>
          <w:sz w:val="20"/>
          <w:szCs w:val="20"/>
        </w:rPr>
        <w:t xml:space="preserve"> </w:t>
      </w:r>
      <w:r>
        <w:rPr>
          <w:sz w:val="20"/>
          <w:szCs w:val="20"/>
        </w:rPr>
        <w:fldChar w:fldCharType="begin" w:fldLock="1"/>
      </w:r>
      <w:r>
        <w:rPr>
          <w:sz w:val="20"/>
          <w:szCs w:val="20"/>
        </w:rPr>
        <w:instrText>ADDIN CSL_CITATION {"citationItems":[{"id":"ITEM-1","itemData":{"ISSN":"26975718","PMID":"23682441","abstract":"Elevated leukocyte counts can be a marker of inflammation and infection. The aim of this study was to determine the total leukocyte count and neutrophil-lymphocyte count ratio (NLCR) among Helicobacter pylori-infected patients with peptic ulcer disease (PU) and among asymptomatic subjects (AS) and to evaluate if there is an association between these lab values and the presence of the H. pylori virulence factor cytotoxin-associated gene A (CagA). Sixty H. pylori-infected PU patients, 63 AS carriers and 32 healthy H. pylori-negative subjects (controls) were included in the study. The total white blood cell (WBC) counts and differentials were determined using standard hematological methods. The mean total WBC count, mean neutrophil count and NLCR were significantly higher among PU patients than in controls (p&lt;0.001, p&lt;0.001 and p&lt;0.001, respectively). Similarly, the mean WBC count, mean neutrophil count and NLCR were significantly higher among AS patients than in controls (p&lt;0.005, p&lt;0.001 and p&lt;0.02, respectively). The differences of mean WBC counts mean neutrophil counts and NLCR were also significantly different (p&lt;0.005, p&lt;0.001 and p&lt;0.001, respectively) between the PU and AS patients. There were no differences in the PU and AS patients in regard to anti-CagA positivity. These results show the CagA factor was not associated with the presence or absence of symptoms in H. pylori infected patients.","author":[{"dropping-particle":"","family":"Jafarzadeh","given":"Abdollah","non-dropping-particle":"","parse-names":false,"suffix":""},{"dropping-particle":"","family":"Akbarpoor","given":"V.","non-dropping-particle":"","parse-names":false,"suffix":""},{"dropping-particle":"","family":"Nabizadeh","given":"M.","non-dropping-particle":"","parse-names":false,"suffix":""},{"dropping-particle":"","family":"Nemati","given":"M.","non-dropping-particle":"","parse-names":false,"suffix":""},{"dropping-particle":"","family":"Rezayati","given":"M. T.","non-dropping-particle":"","parse-names":false,"suffix":""}],"container-title":"Southeast Asian Journal of Tropical Medicine and Public Health","id":"ITEM-1","issue":"1","issued":{"date-parts":[["2013"]]},"page":"82-88","title":"Total leukocyte counts and neutrophil-lymphocyte count ratios among helicobacter pylori-infected patients with peptic ulcers: Independent of bacterial CagA status","type":"article-journal","volume":"44"},"uris":["http://www.mendeley.com/documents/?uuid=8284c14e-2d54-44ea-ba20-80e8dfe594ac"]}],"mendeley":{"formattedCitation":"[26]","plainTextFormattedCitation":"[26]","previouslyFormattedCitation":"[26]"},"properties":{"noteIndex":0},"schema":"https://github.com/citation-style-language/schema/raw/master/csl-citation.json"}</w:instrText>
      </w:r>
      <w:r>
        <w:rPr>
          <w:sz w:val="20"/>
          <w:szCs w:val="20"/>
        </w:rPr>
        <w:fldChar w:fldCharType="separate"/>
      </w:r>
      <w:r w:rsidRPr="000137F7">
        <w:rPr>
          <w:noProof/>
          <w:sz w:val="20"/>
          <w:szCs w:val="20"/>
        </w:rPr>
        <w:t>[26]</w:t>
      </w:r>
      <w:r>
        <w:rPr>
          <w:sz w:val="20"/>
          <w:szCs w:val="20"/>
        </w:rPr>
        <w:fldChar w:fldCharType="end"/>
      </w:r>
      <w:r>
        <w:rPr>
          <w:sz w:val="20"/>
          <w:szCs w:val="20"/>
        </w:rPr>
        <w:t>. with the results of the neutrophil lymphocyte ratio value of 34% above the negative control (28%).</w:t>
      </w:r>
    </w:p>
    <w:p w14:paraId="749998CE" w14:textId="77777777" w:rsidR="00924819" w:rsidRDefault="00924819" w:rsidP="00924819">
      <w:pPr>
        <w:spacing w:line="240" w:lineRule="exact"/>
        <w:ind w:firstLine="180"/>
        <w:jc w:val="both"/>
        <w:rPr>
          <w:sz w:val="20"/>
          <w:szCs w:val="20"/>
        </w:rPr>
      </w:pPr>
      <w:r w:rsidRPr="001465C4">
        <w:rPr>
          <w:sz w:val="20"/>
          <w:szCs w:val="20"/>
        </w:rPr>
        <w:t xml:space="preserve">According to the study's findings, there is a significant correlation between the density of </w:t>
      </w:r>
      <w:r w:rsidRPr="001465C4">
        <w:rPr>
          <w:i/>
          <w:sz w:val="20"/>
          <w:szCs w:val="20"/>
        </w:rPr>
        <w:t>Helicobacter pylori</w:t>
      </w:r>
      <w:r w:rsidRPr="001465C4">
        <w:rPr>
          <w:sz w:val="20"/>
          <w:szCs w:val="20"/>
        </w:rPr>
        <w:t xml:space="preserve"> bacteria and the ratio of neutrophil lymphocytes as measured by the r-Spearman </w:t>
      </w:r>
      <w:proofErr w:type="gramStart"/>
      <w:r w:rsidRPr="001465C4">
        <w:rPr>
          <w:sz w:val="20"/>
          <w:szCs w:val="20"/>
        </w:rPr>
        <w:t>test.</w:t>
      </w:r>
      <w:r>
        <w:rPr>
          <w:sz w:val="20"/>
          <w:szCs w:val="20"/>
        </w:rPr>
        <w:t>.</w:t>
      </w:r>
      <w:proofErr w:type="gramEnd"/>
      <w:r>
        <w:rPr>
          <w:sz w:val="20"/>
          <w:szCs w:val="20"/>
        </w:rPr>
        <w:t xml:space="preserve"> These results are in accordance with research conducted by </w:t>
      </w:r>
      <w:r>
        <w:rPr>
          <w:sz w:val="20"/>
          <w:szCs w:val="20"/>
        </w:rPr>
        <w:fldChar w:fldCharType="begin" w:fldLock="1"/>
      </w:r>
      <w:r>
        <w:rPr>
          <w:sz w:val="20"/>
          <w:szCs w:val="20"/>
        </w:rPr>
        <w:instrText>ADDIN CSL_CITATION {"citationItems":[{"id":"ITEM-1","itemData":{"ISSN":"0970938X","abstract":"Introduction: Helicobacter pylori are a microaerophile gram-negative bacteria and the most frequent factor of chronic gastritis. Recently, there has been an inclination to various non-invasive tests to determine the severity of H. pylori infection in the gastric tissue. The serum neutrophils/lymphocytes rate (NLR) is a simple, safe, non-invasive and active inflammation reagent. The purpose of this study is examining the correlation between the increase in the positivity/severity of H. pylori infection and the increase in the NLR. Material and method: 149 patients were included into the study by considering the Sydney criteria in accordance with H. pylori severity degrees in 3 groups; Mild (n=49), Moderate-Severe (n=67) and Severe (n=33). A Control Group was also formed (n=22) with negative H. pylori by three experienced pathologists. Result: It has been determined that the severity has increased among the groups with H. pylori positive as regard to the increase in serum NLR (r: 0.295, p: 0.017), there has been a significant correlation has been determined between the Control Group and the Moderate-Severe patients (p:0.014), the Severe patients (p:0.002). Conclusion: It is suggested that the serum NLR, which can be used in order to predict the severity of the H. pylori Infection in patients with chronic gastritis, can be a practical, inexpensive and non-invasive test.","author":[{"dropping-particle":"","family":"Atayan","given":"Yahya","non-dropping-particle":"","parse-names":false,"suffix":""},{"dropping-particle":"","family":"Hacisalihoglu","given":"Payam","non-dropping-particle":"","parse-names":false,"suffix":""}],"container-title":"Biomedical Research (India)","id":"ITEM-1","issue":"11","issued":{"date-parts":[["2017"]]},"page":"4874-4877","title":"The correlation between tissue Helicobacter pylori severity and the increase in serum neutrophil/lymphocyte ratio in patients with active chronic gastritis","type":"article-journal","volume":"28"},"uris":["http://www.mendeley.com/documents/?uuid=18a89b58-56ba-4d42-aa01-3c57b7d67ae2"]}],"mendeley":{"formattedCitation":"[27]","manualFormatting":"Atayan &amp; Hacisalihoglu, (2017)","plainTextFormattedCitation":"[27]","previouslyFormattedCitation":"[27]"},"properties":{"noteIndex":0},"schema":"https://github.com/citation-style-language/schema/raw/master/csl-citation.json"}</w:instrText>
      </w:r>
      <w:r>
        <w:rPr>
          <w:sz w:val="20"/>
          <w:szCs w:val="20"/>
        </w:rPr>
        <w:fldChar w:fldCharType="separate"/>
      </w:r>
      <w:r>
        <w:rPr>
          <w:noProof/>
          <w:sz w:val="20"/>
          <w:szCs w:val="20"/>
        </w:rPr>
        <w:t>Atayan &amp; Hacisalihoglu, (2017)</w:t>
      </w:r>
      <w:r>
        <w:rPr>
          <w:sz w:val="20"/>
          <w:szCs w:val="20"/>
        </w:rPr>
        <w:fldChar w:fldCharType="end"/>
      </w:r>
      <w:r>
        <w:rPr>
          <w:sz w:val="20"/>
          <w:szCs w:val="20"/>
        </w:rPr>
        <w:t xml:space="preserve"> </w:t>
      </w:r>
      <w:r>
        <w:rPr>
          <w:sz w:val="20"/>
          <w:szCs w:val="20"/>
        </w:rPr>
        <w:fldChar w:fldCharType="begin" w:fldLock="1"/>
      </w:r>
      <w:r>
        <w:rPr>
          <w:sz w:val="20"/>
          <w:szCs w:val="20"/>
        </w:rPr>
        <w:instrText>ADDIN CSL_CITATION {"citationItems":[{"id":"ITEM-1","itemData":{"ISSN":"0970938X","abstract":"Introduction: Helicobacter pylori are a microaerophile gram-negative bacteria and the most frequent factor of chronic gastritis. Recently, there has been an inclination to various non-invasive tests to determine the severity of H. pylori infection in the gastric tissue. The serum neutrophils/lymphocytes rate (NLR) is a simple, safe, non-invasive and active inflammation reagent. The purpose of this study is examining the correlation between the increase in the positivity/severity of H. pylori infection and the increase in the NLR. Material and method: 149 patients were included into the study by considering the Sydney criteria in accordance with H. pylori severity degrees in 3 groups; Mild (n=49), Moderate-Severe (n=67) and Severe (n=33). A Control Group was also formed (n=22) with negative H. pylori by three experienced pathologists. Result: It has been determined that the severity has increased among the groups with H. pylori positive as regard to the increase in serum NLR (r: 0.295, p: 0.017), there has been a significant correlation has been determined between the Control Group and the Moderate-Severe patients (p:0.014), the Severe patients (p:0.002). Conclusion: It is suggested that the serum NLR, which can be used in order to predict the severity of the H. pylori Infection in patients with chronic gastritis, can be a practical, inexpensive and non-invasive test.","author":[{"dropping-particle":"","family":"Atayan","given":"Yahya","non-dropping-particle":"","parse-names":false,"suffix":""},{"dropping-particle":"","family":"Hacisalihoglu","given":"Payam","non-dropping-particle":"","parse-names":false,"suffix":""}],"container-title":"Biomedical Research (India)","id":"ITEM-1","issue":"11","issued":{"date-parts":[["2017"]]},"page":"4874-4877","title":"The correlation between tissue Helicobacter pylori severity and the increase in serum neutrophil/lymphocyte ratio in patients with active chronic gastritis","type":"article-journal","volume":"28"},"uris":["http://www.mendeley.com/documents/?uuid=18a89b58-56ba-4d42-aa01-3c57b7d67ae2"]}],"mendeley":{"formattedCitation":"[27]","plainTextFormattedCitation":"[27]","previouslyFormattedCitation":"[27]"},"properties":{"noteIndex":0},"schema":"https://github.com/citation-style-language/schema/raw/master/csl-citation.json"}</w:instrText>
      </w:r>
      <w:r>
        <w:rPr>
          <w:sz w:val="20"/>
          <w:szCs w:val="20"/>
        </w:rPr>
        <w:fldChar w:fldCharType="separate"/>
      </w:r>
      <w:r w:rsidRPr="000137F7">
        <w:rPr>
          <w:noProof/>
          <w:sz w:val="20"/>
          <w:szCs w:val="20"/>
        </w:rPr>
        <w:t>[27]</w:t>
      </w:r>
      <w:r>
        <w:rPr>
          <w:sz w:val="20"/>
          <w:szCs w:val="20"/>
        </w:rPr>
        <w:fldChar w:fldCharType="end"/>
      </w:r>
      <w:r>
        <w:rPr>
          <w:sz w:val="20"/>
          <w:szCs w:val="20"/>
        </w:rPr>
        <w:t xml:space="preserve">. This relationship is followed by the direction of the sign of the coefficient of negative (-) or the opposite, the lower the value of the neutrophil lymphocyte ratio, the higher the density of </w:t>
      </w:r>
      <w:r w:rsidRPr="00B53540">
        <w:rPr>
          <w:i/>
          <w:sz w:val="20"/>
          <w:szCs w:val="20"/>
        </w:rPr>
        <w:t xml:space="preserve">Helicobacter Pylori </w:t>
      </w:r>
      <w:r>
        <w:rPr>
          <w:sz w:val="20"/>
          <w:szCs w:val="20"/>
        </w:rPr>
        <w:t>bacteria in the gastric tissue of gastritis sufferers at RSPAL dr. Ramelan Surabaya.</w:t>
      </w:r>
    </w:p>
    <w:p w14:paraId="2966E1F6" w14:textId="19F60E11" w:rsidR="00456276" w:rsidRPr="00B82E15" w:rsidRDefault="00924819" w:rsidP="00924819">
      <w:pPr>
        <w:ind w:firstLine="180"/>
        <w:jc w:val="both"/>
        <w:rPr>
          <w:color w:val="202124"/>
          <w:sz w:val="20"/>
          <w:szCs w:val="20"/>
          <w:shd w:val="clear" w:color="auto" w:fill="FFFFFF"/>
        </w:rPr>
      </w:pPr>
      <w:r w:rsidRPr="00007EEE">
        <w:rPr>
          <w:color w:val="202124"/>
          <w:sz w:val="20"/>
          <w:szCs w:val="20"/>
          <w:shd w:val="clear" w:color="auto" w:fill="FFFFFF"/>
        </w:rPr>
        <w:t xml:space="preserve">The total sample used in this research is 60 samples divided into two </w:t>
      </w:r>
      <w:r w:rsidR="00F162BF" w:rsidRPr="00007EEE">
        <w:rPr>
          <w:color w:val="202124"/>
          <w:sz w:val="20"/>
          <w:szCs w:val="20"/>
          <w:shd w:val="clear" w:color="auto" w:fill="FFFFFF"/>
        </w:rPr>
        <w:t>genders</w:t>
      </w:r>
      <w:r w:rsidRPr="00007EEE">
        <w:rPr>
          <w:color w:val="202124"/>
          <w:sz w:val="20"/>
          <w:szCs w:val="20"/>
          <w:shd w:val="clear" w:color="auto" w:fill="FFFFFF"/>
        </w:rPr>
        <w:t xml:space="preserve">, female and male. The female is 28 samples and 32 samples from male. The sample needs to meet with the criteria which should be have </w:t>
      </w:r>
      <w:proofErr w:type="spellStart"/>
      <w:r w:rsidRPr="00007EEE">
        <w:rPr>
          <w:color w:val="202124"/>
          <w:sz w:val="20"/>
          <w:szCs w:val="20"/>
          <w:shd w:val="clear" w:color="auto" w:fill="FFFFFF"/>
        </w:rPr>
        <w:t>histopatology</w:t>
      </w:r>
      <w:proofErr w:type="spellEnd"/>
      <w:r w:rsidRPr="00007EEE">
        <w:rPr>
          <w:color w:val="202124"/>
          <w:sz w:val="20"/>
          <w:szCs w:val="20"/>
          <w:shd w:val="clear" w:color="auto" w:fill="FFFFFF"/>
        </w:rPr>
        <w:t xml:space="preserve"> result from gastric tissue and hemogram data for complete blood. The method used is descriptive observational and process with SPSS statistic 25. The result by processing the samples </w:t>
      </w:r>
      <w:r w:rsidRPr="00B21F18">
        <w:rPr>
          <w:sz w:val="20"/>
          <w:szCs w:val="20"/>
        </w:rPr>
        <w:t xml:space="preserve">shown in the r-Spearman test, there is a significant correlation between the neutrophil lymphocyte ratio (NLR) and the density of </w:t>
      </w:r>
      <w:r w:rsidRPr="00B21F18">
        <w:rPr>
          <w:i/>
          <w:sz w:val="20"/>
          <w:szCs w:val="20"/>
        </w:rPr>
        <w:t>Helicobacter Pylori</w:t>
      </w:r>
      <w:r w:rsidRPr="00B21F18">
        <w:rPr>
          <w:sz w:val="20"/>
          <w:szCs w:val="20"/>
        </w:rPr>
        <w:t xml:space="preserve"> bacteria (</w:t>
      </w:r>
      <w:proofErr w:type="spellStart"/>
      <w:r w:rsidRPr="00B21F18">
        <w:rPr>
          <w:sz w:val="20"/>
          <w:szCs w:val="20"/>
        </w:rPr>
        <w:t>Pv</w:t>
      </w:r>
      <w:proofErr w:type="spellEnd"/>
      <w:r w:rsidRPr="00B21F18">
        <w:rPr>
          <w:sz w:val="20"/>
          <w:szCs w:val="20"/>
        </w:rPr>
        <w:t xml:space="preserve"> = 0.000) when it is below 0.005</w:t>
      </w:r>
      <w:r w:rsidR="00FA7EF8">
        <w:rPr>
          <w:sz w:val="20"/>
          <w:szCs w:val="20"/>
        </w:rPr>
        <w:t>.</w:t>
      </w:r>
    </w:p>
    <w:p w14:paraId="49F08C59" w14:textId="0403DBC5" w:rsidR="0091745E" w:rsidRPr="00842CBB" w:rsidRDefault="0091745E" w:rsidP="00CC401E">
      <w:pPr>
        <w:pStyle w:val="Heading1"/>
      </w:pPr>
      <w:r w:rsidRPr="00842CBB">
        <w:t>V. CONCLUSIO</w:t>
      </w:r>
      <w:r w:rsidR="00B82E15">
        <w:t>N</w:t>
      </w:r>
    </w:p>
    <w:p w14:paraId="080BEF3E" w14:textId="2594F4B4" w:rsidR="0016327B" w:rsidRPr="0016327B" w:rsidRDefault="00924819" w:rsidP="0016327B">
      <w:pPr>
        <w:pStyle w:val="ListParagraph"/>
        <w:tabs>
          <w:tab w:val="left" w:pos="180"/>
        </w:tabs>
        <w:spacing w:after="0" w:line="240" w:lineRule="exact"/>
        <w:ind w:left="0"/>
        <w:jc w:val="both"/>
        <w:rPr>
          <w:lang w:val="en-US"/>
        </w:rPr>
      </w:pPr>
      <w:r w:rsidRPr="006E5822">
        <w:rPr>
          <w:rStyle w:val="CommentReference"/>
          <w:sz w:val="20"/>
          <w:szCs w:val="20"/>
        </w:rPr>
        <w:t xml:space="preserve">The </w:t>
      </w:r>
      <w:proofErr w:type="spellStart"/>
      <w:r w:rsidRPr="006E5822">
        <w:rPr>
          <w:rStyle w:val="CommentReference"/>
          <w:sz w:val="20"/>
          <w:szCs w:val="20"/>
        </w:rPr>
        <w:t>aim</w:t>
      </w:r>
      <w:proofErr w:type="spellEnd"/>
      <w:r w:rsidRPr="006E5822">
        <w:rPr>
          <w:rStyle w:val="CommentReference"/>
          <w:sz w:val="20"/>
          <w:szCs w:val="20"/>
        </w:rPr>
        <w:t xml:space="preserve"> </w:t>
      </w:r>
      <w:proofErr w:type="spellStart"/>
      <w:r w:rsidRPr="006E5822">
        <w:rPr>
          <w:rStyle w:val="CommentReference"/>
          <w:sz w:val="20"/>
          <w:szCs w:val="20"/>
        </w:rPr>
        <w:t>of</w:t>
      </w:r>
      <w:proofErr w:type="spellEnd"/>
      <w:r w:rsidRPr="006E5822">
        <w:rPr>
          <w:rStyle w:val="CommentReference"/>
          <w:sz w:val="20"/>
          <w:szCs w:val="20"/>
        </w:rPr>
        <w:t xml:space="preserve"> </w:t>
      </w:r>
      <w:proofErr w:type="spellStart"/>
      <w:r w:rsidRPr="006E5822">
        <w:rPr>
          <w:rStyle w:val="CommentReference"/>
          <w:sz w:val="20"/>
          <w:szCs w:val="20"/>
        </w:rPr>
        <w:t>this</w:t>
      </w:r>
      <w:proofErr w:type="spellEnd"/>
      <w:r w:rsidRPr="006E5822">
        <w:rPr>
          <w:rStyle w:val="CommentReference"/>
          <w:sz w:val="20"/>
          <w:szCs w:val="20"/>
        </w:rPr>
        <w:t xml:space="preserve"> study </w:t>
      </w:r>
      <w:proofErr w:type="spellStart"/>
      <w:r w:rsidRPr="006E5822">
        <w:rPr>
          <w:rStyle w:val="CommentReference"/>
          <w:sz w:val="20"/>
          <w:szCs w:val="20"/>
        </w:rPr>
        <w:t>was</w:t>
      </w:r>
      <w:proofErr w:type="spellEnd"/>
      <w:r w:rsidRPr="006E5822">
        <w:rPr>
          <w:rStyle w:val="CommentReference"/>
          <w:sz w:val="20"/>
          <w:szCs w:val="20"/>
        </w:rPr>
        <w:t xml:space="preserve"> to </w:t>
      </w:r>
      <w:proofErr w:type="spellStart"/>
      <w:r w:rsidRPr="006E5822">
        <w:rPr>
          <w:rStyle w:val="CommentReference"/>
          <w:sz w:val="20"/>
          <w:szCs w:val="20"/>
        </w:rPr>
        <w:t>analyze</w:t>
      </w:r>
      <w:proofErr w:type="spellEnd"/>
      <w:r w:rsidRPr="006E5822">
        <w:rPr>
          <w:rStyle w:val="CommentReference"/>
          <w:sz w:val="20"/>
          <w:szCs w:val="20"/>
        </w:rPr>
        <w:t xml:space="preserve"> </w:t>
      </w:r>
      <w:proofErr w:type="spellStart"/>
      <w:r w:rsidRPr="006E5822">
        <w:rPr>
          <w:rStyle w:val="CommentReference"/>
          <w:sz w:val="20"/>
          <w:szCs w:val="20"/>
        </w:rPr>
        <w:t>the</w:t>
      </w:r>
      <w:proofErr w:type="spellEnd"/>
      <w:r w:rsidRPr="006E5822">
        <w:rPr>
          <w:rStyle w:val="CommentReference"/>
          <w:sz w:val="20"/>
          <w:szCs w:val="20"/>
        </w:rPr>
        <w:t xml:space="preserve"> </w:t>
      </w:r>
      <w:proofErr w:type="spellStart"/>
      <w:r w:rsidRPr="006E5822">
        <w:rPr>
          <w:rStyle w:val="CommentReference"/>
          <w:sz w:val="20"/>
          <w:szCs w:val="20"/>
        </w:rPr>
        <w:t>neutrophil</w:t>
      </w:r>
      <w:proofErr w:type="spellEnd"/>
      <w:r w:rsidRPr="006E5822">
        <w:rPr>
          <w:rStyle w:val="CommentReference"/>
          <w:sz w:val="20"/>
          <w:szCs w:val="20"/>
        </w:rPr>
        <w:t xml:space="preserve"> </w:t>
      </w:r>
      <w:proofErr w:type="spellStart"/>
      <w:r w:rsidRPr="006E5822">
        <w:rPr>
          <w:rStyle w:val="CommentReference"/>
          <w:sz w:val="20"/>
          <w:szCs w:val="20"/>
        </w:rPr>
        <w:t>lymphocyte</w:t>
      </w:r>
      <w:proofErr w:type="spellEnd"/>
      <w:r w:rsidRPr="006E5822">
        <w:rPr>
          <w:rStyle w:val="CommentReference"/>
          <w:sz w:val="20"/>
          <w:szCs w:val="20"/>
        </w:rPr>
        <w:t xml:space="preserve"> </w:t>
      </w:r>
      <w:proofErr w:type="spellStart"/>
      <w:r w:rsidRPr="006E5822">
        <w:rPr>
          <w:rStyle w:val="CommentReference"/>
          <w:sz w:val="20"/>
          <w:szCs w:val="20"/>
        </w:rPr>
        <w:t>ratio</w:t>
      </w:r>
      <w:proofErr w:type="spellEnd"/>
      <w:r w:rsidRPr="006E5822">
        <w:rPr>
          <w:rStyle w:val="CommentReference"/>
          <w:sz w:val="20"/>
          <w:szCs w:val="20"/>
        </w:rPr>
        <w:t xml:space="preserve"> (NLR) in </w:t>
      </w:r>
      <w:proofErr w:type="spellStart"/>
      <w:r w:rsidRPr="006E5822">
        <w:rPr>
          <w:rStyle w:val="CommentReference"/>
          <w:sz w:val="20"/>
          <w:szCs w:val="20"/>
        </w:rPr>
        <w:t>patients</w:t>
      </w:r>
      <w:proofErr w:type="spellEnd"/>
      <w:r w:rsidRPr="006E5822">
        <w:rPr>
          <w:rStyle w:val="CommentReference"/>
          <w:sz w:val="20"/>
          <w:szCs w:val="20"/>
        </w:rPr>
        <w:t xml:space="preserve"> </w:t>
      </w:r>
      <w:proofErr w:type="spellStart"/>
      <w:r w:rsidRPr="006E5822">
        <w:rPr>
          <w:rStyle w:val="CommentReference"/>
          <w:sz w:val="20"/>
          <w:szCs w:val="20"/>
        </w:rPr>
        <w:t>with</w:t>
      </w:r>
      <w:proofErr w:type="spellEnd"/>
      <w:r w:rsidRPr="006E5822">
        <w:rPr>
          <w:rStyle w:val="CommentReference"/>
          <w:sz w:val="20"/>
          <w:szCs w:val="20"/>
        </w:rPr>
        <w:t xml:space="preserve"> gastritis </w:t>
      </w:r>
      <w:proofErr w:type="spellStart"/>
      <w:r w:rsidRPr="006E5822">
        <w:rPr>
          <w:rStyle w:val="CommentReference"/>
          <w:sz w:val="20"/>
          <w:szCs w:val="20"/>
        </w:rPr>
        <w:t>caused</w:t>
      </w:r>
      <w:proofErr w:type="spellEnd"/>
      <w:r w:rsidRPr="006E5822">
        <w:rPr>
          <w:rStyle w:val="CommentReference"/>
          <w:sz w:val="20"/>
          <w:szCs w:val="20"/>
        </w:rPr>
        <w:t xml:space="preserve"> </w:t>
      </w:r>
      <w:proofErr w:type="spellStart"/>
      <w:r w:rsidRPr="006E5822">
        <w:rPr>
          <w:rStyle w:val="CommentReference"/>
          <w:sz w:val="20"/>
          <w:szCs w:val="20"/>
        </w:rPr>
        <w:t>by</w:t>
      </w:r>
      <w:proofErr w:type="spellEnd"/>
      <w:r w:rsidRPr="006E5822">
        <w:rPr>
          <w:rStyle w:val="CommentReference"/>
          <w:sz w:val="20"/>
          <w:szCs w:val="20"/>
        </w:rPr>
        <w:t xml:space="preserve"> </w:t>
      </w:r>
      <w:proofErr w:type="spellStart"/>
      <w:r w:rsidRPr="006E5822">
        <w:rPr>
          <w:rStyle w:val="CommentReference"/>
          <w:i/>
          <w:sz w:val="20"/>
          <w:szCs w:val="20"/>
        </w:rPr>
        <w:t>Helicobacter</w:t>
      </w:r>
      <w:proofErr w:type="spellEnd"/>
      <w:r w:rsidRPr="006E5822">
        <w:rPr>
          <w:rStyle w:val="CommentReference"/>
          <w:i/>
          <w:sz w:val="20"/>
          <w:szCs w:val="20"/>
        </w:rPr>
        <w:t xml:space="preserve"> </w:t>
      </w:r>
      <w:proofErr w:type="spellStart"/>
      <w:r w:rsidRPr="006E5822">
        <w:rPr>
          <w:rStyle w:val="CommentReference"/>
          <w:i/>
          <w:sz w:val="20"/>
          <w:szCs w:val="20"/>
        </w:rPr>
        <w:t>Pylori</w:t>
      </w:r>
      <w:proofErr w:type="spellEnd"/>
      <w:r w:rsidRPr="006E5822">
        <w:rPr>
          <w:rStyle w:val="CommentReference"/>
          <w:sz w:val="20"/>
          <w:szCs w:val="20"/>
        </w:rPr>
        <w:t xml:space="preserve"> </w:t>
      </w:r>
      <w:proofErr w:type="spellStart"/>
      <w:r w:rsidRPr="006E5822">
        <w:rPr>
          <w:rStyle w:val="CommentReference"/>
          <w:sz w:val="20"/>
          <w:szCs w:val="20"/>
        </w:rPr>
        <w:t>by</w:t>
      </w:r>
      <w:proofErr w:type="spellEnd"/>
      <w:r w:rsidRPr="006E5822">
        <w:rPr>
          <w:rStyle w:val="CommentReference"/>
          <w:sz w:val="20"/>
          <w:szCs w:val="20"/>
        </w:rPr>
        <w:t xml:space="preserve"> </w:t>
      </w:r>
      <w:proofErr w:type="spellStart"/>
      <w:r w:rsidRPr="006E5822">
        <w:rPr>
          <w:rStyle w:val="CommentReference"/>
          <w:sz w:val="20"/>
          <w:szCs w:val="20"/>
        </w:rPr>
        <w:t>histopathological</w:t>
      </w:r>
      <w:proofErr w:type="spellEnd"/>
      <w:r w:rsidRPr="006E5822">
        <w:rPr>
          <w:rStyle w:val="CommentReference"/>
          <w:sz w:val="20"/>
          <w:szCs w:val="20"/>
        </w:rPr>
        <w:t xml:space="preserve"> </w:t>
      </w:r>
      <w:proofErr w:type="spellStart"/>
      <w:r w:rsidRPr="006E5822">
        <w:rPr>
          <w:rStyle w:val="CommentReference"/>
          <w:sz w:val="20"/>
          <w:szCs w:val="20"/>
        </w:rPr>
        <w:t>examination</w:t>
      </w:r>
      <w:proofErr w:type="spellEnd"/>
      <w:r w:rsidRPr="006E5822">
        <w:rPr>
          <w:rStyle w:val="CommentReference"/>
          <w:sz w:val="20"/>
          <w:szCs w:val="20"/>
        </w:rPr>
        <w:t xml:space="preserve"> diagnosis.</w:t>
      </w:r>
      <w:r>
        <w:rPr>
          <w:rStyle w:val="CommentReference"/>
          <w:sz w:val="20"/>
          <w:szCs w:val="20"/>
          <w:lang w:val="en-US"/>
        </w:rPr>
        <w:t xml:space="preserve"> </w:t>
      </w:r>
      <w:r>
        <w:rPr>
          <w:lang w:val="en-US"/>
        </w:rPr>
        <w:t xml:space="preserve">The result of this research is supporting the past research to the newest and got result a very strong relationship between the ratio of neutrophil lymphocytes (RNL) with the density level of </w:t>
      </w:r>
      <w:r w:rsidRPr="00B53540">
        <w:rPr>
          <w:i/>
          <w:lang w:val="en-US"/>
        </w:rPr>
        <w:t>Helicobacter Pylori</w:t>
      </w:r>
      <w:r>
        <w:rPr>
          <w:lang w:val="en-US"/>
        </w:rPr>
        <w:t xml:space="preserve"> bacteria. For the next research suggested to use a wide population represent the huge population. Therefore, it can be a strongest valid of </w:t>
      </w:r>
      <w:proofErr w:type="gramStart"/>
      <w:r>
        <w:rPr>
          <w:lang w:val="en-US"/>
        </w:rPr>
        <w:t>a research</w:t>
      </w:r>
      <w:proofErr w:type="gramEnd"/>
      <w:r>
        <w:rPr>
          <w:lang w:val="en-US"/>
        </w:rPr>
        <w:t xml:space="preserve"> in this topic.</w:t>
      </w:r>
    </w:p>
    <w:p w14:paraId="16594DF0" w14:textId="77777777" w:rsidR="00BE0B38" w:rsidRDefault="005C3B7E" w:rsidP="00CC401E">
      <w:pPr>
        <w:pStyle w:val="Heading1"/>
      </w:pPr>
      <w:r>
        <w:lastRenderedPageBreak/>
        <w:t>REFERENCE</w:t>
      </w:r>
    </w:p>
    <w:p w14:paraId="7B0FA994" w14:textId="77777777" w:rsidR="000137F7" w:rsidRPr="00B82E15" w:rsidRDefault="005C3B7E" w:rsidP="00132C0C">
      <w:pPr>
        <w:widowControl w:val="0"/>
        <w:autoSpaceDE w:val="0"/>
        <w:autoSpaceDN w:val="0"/>
        <w:adjustRightInd w:val="0"/>
        <w:ind w:left="360" w:hanging="360"/>
        <w:jc w:val="both"/>
        <w:rPr>
          <w:noProof/>
          <w:sz w:val="16"/>
          <w:szCs w:val="20"/>
        </w:rPr>
      </w:pPr>
      <w:r w:rsidRPr="00B82E15">
        <w:rPr>
          <w:sz w:val="16"/>
          <w:szCs w:val="16"/>
        </w:rPr>
        <w:fldChar w:fldCharType="begin" w:fldLock="1"/>
      </w:r>
      <w:r w:rsidRPr="00B82E15">
        <w:rPr>
          <w:sz w:val="16"/>
          <w:szCs w:val="16"/>
        </w:rPr>
        <w:instrText xml:space="preserve">ADDIN Mendeley Bibliography CSL_BIBLIOGRAPHY </w:instrText>
      </w:r>
      <w:r w:rsidRPr="00B82E15">
        <w:rPr>
          <w:sz w:val="16"/>
          <w:szCs w:val="16"/>
        </w:rPr>
        <w:fldChar w:fldCharType="separate"/>
      </w:r>
      <w:r w:rsidR="000137F7" w:rsidRPr="00B82E15">
        <w:rPr>
          <w:noProof/>
          <w:sz w:val="16"/>
          <w:szCs w:val="20"/>
        </w:rPr>
        <w:t>[1]</w:t>
      </w:r>
      <w:r w:rsidR="000137F7" w:rsidRPr="00B82E15">
        <w:rPr>
          <w:noProof/>
          <w:sz w:val="16"/>
          <w:szCs w:val="20"/>
        </w:rPr>
        <w:tab/>
        <w:t>M. Rugge</w:t>
      </w:r>
      <w:r w:rsidR="000137F7" w:rsidRPr="00B82E15">
        <w:rPr>
          <w:i/>
          <w:iCs/>
          <w:noProof/>
          <w:sz w:val="16"/>
          <w:szCs w:val="20"/>
        </w:rPr>
        <w:t>et al.</w:t>
      </w:r>
      <w:r w:rsidR="000137F7" w:rsidRPr="00B82E15">
        <w:rPr>
          <w:noProof/>
          <w:sz w:val="16"/>
          <w:szCs w:val="20"/>
        </w:rPr>
        <w:t>, "Gastric Cancer as Preventable Disease," Clin. Gastroenterol. Hepatol., vol. 15, pp. 1833–1843, 2017, doi:10.1016/j.cgh.2017.05.023.</w:t>
      </w:r>
    </w:p>
    <w:p w14:paraId="22E99837" w14:textId="77777777" w:rsidR="000137F7" w:rsidRPr="00B82E15" w:rsidRDefault="000137F7" w:rsidP="00132C0C">
      <w:pPr>
        <w:widowControl w:val="0"/>
        <w:autoSpaceDE w:val="0"/>
        <w:autoSpaceDN w:val="0"/>
        <w:adjustRightInd w:val="0"/>
        <w:ind w:left="360" w:hanging="360"/>
        <w:jc w:val="both"/>
        <w:rPr>
          <w:noProof/>
          <w:sz w:val="16"/>
          <w:szCs w:val="20"/>
        </w:rPr>
      </w:pPr>
      <w:r w:rsidRPr="00B82E15">
        <w:rPr>
          <w:noProof/>
          <w:sz w:val="16"/>
          <w:szCs w:val="20"/>
        </w:rPr>
        <w:t>[2]</w:t>
      </w:r>
      <w:r w:rsidRPr="00B82E15">
        <w:rPr>
          <w:noProof/>
          <w:sz w:val="16"/>
          <w:szCs w:val="20"/>
        </w:rPr>
        <w:tab/>
        <w:t>JJY Sung</w:t>
      </w:r>
      <w:r w:rsidRPr="00B82E15">
        <w:rPr>
          <w:i/>
          <w:iCs/>
          <w:noProof/>
          <w:sz w:val="16"/>
          <w:szCs w:val="20"/>
        </w:rPr>
        <w:t>et al.</w:t>
      </w:r>
      <w:r w:rsidRPr="00B82E15">
        <w:rPr>
          <w:noProof/>
          <w:sz w:val="16"/>
          <w:szCs w:val="20"/>
        </w:rPr>
        <w:t>, “Gastric microbes associated with gastric inflammation, atrophy and intestinal metaplasia 1 year after Helicobacter pylori eradication,” Gut, vol. 69, no. 9, pp. 1572–1580, 2020, doi:10.1136/gutjnl-2019-319826.</w:t>
      </w:r>
    </w:p>
    <w:p w14:paraId="76813CC9" w14:textId="77777777" w:rsidR="000137F7" w:rsidRPr="00B82E15" w:rsidRDefault="000137F7" w:rsidP="00132C0C">
      <w:pPr>
        <w:widowControl w:val="0"/>
        <w:autoSpaceDE w:val="0"/>
        <w:autoSpaceDN w:val="0"/>
        <w:adjustRightInd w:val="0"/>
        <w:ind w:left="360" w:hanging="360"/>
        <w:jc w:val="both"/>
        <w:rPr>
          <w:noProof/>
          <w:sz w:val="16"/>
          <w:szCs w:val="20"/>
        </w:rPr>
      </w:pPr>
      <w:r w:rsidRPr="00B82E15">
        <w:rPr>
          <w:noProof/>
          <w:sz w:val="16"/>
          <w:szCs w:val="20"/>
        </w:rPr>
        <w:t>[3]</w:t>
      </w:r>
      <w:r w:rsidRPr="00B82E15">
        <w:rPr>
          <w:noProof/>
          <w:sz w:val="16"/>
          <w:szCs w:val="20"/>
        </w:rPr>
        <w:tab/>
        <w:t>R. Alianto, "Histopathological Diagnosis of Gastritis,"</w:t>
      </w:r>
      <w:r w:rsidRPr="00B82E15">
        <w:rPr>
          <w:i/>
          <w:iCs/>
          <w:noProof/>
          <w:sz w:val="16"/>
          <w:szCs w:val="20"/>
        </w:rPr>
        <w:t>Alianto, R. 'Histopathological Diagnosis of Gastritis', 42(8), pp. 597–600.</w:t>
      </w:r>
      <w:r w:rsidRPr="00B82E15">
        <w:rPr>
          <w:noProof/>
          <w:sz w:val="16"/>
          <w:szCs w:val="20"/>
        </w:rPr>
        <w:t>, vol. 42, no. 8, pp. 597–600, 2015.</w:t>
      </w:r>
    </w:p>
    <w:p w14:paraId="5705DDCF" w14:textId="77777777" w:rsidR="000137F7" w:rsidRPr="00B82E15" w:rsidRDefault="000137F7" w:rsidP="00132C0C">
      <w:pPr>
        <w:widowControl w:val="0"/>
        <w:autoSpaceDE w:val="0"/>
        <w:autoSpaceDN w:val="0"/>
        <w:adjustRightInd w:val="0"/>
        <w:ind w:left="360" w:hanging="360"/>
        <w:jc w:val="both"/>
        <w:rPr>
          <w:noProof/>
          <w:sz w:val="16"/>
          <w:szCs w:val="20"/>
        </w:rPr>
      </w:pPr>
      <w:r w:rsidRPr="00B82E15">
        <w:rPr>
          <w:noProof/>
          <w:sz w:val="16"/>
          <w:szCs w:val="20"/>
        </w:rPr>
        <w:t>[4]</w:t>
      </w:r>
      <w:r w:rsidRPr="00B82E15">
        <w:rPr>
          <w:noProof/>
          <w:sz w:val="16"/>
          <w:szCs w:val="20"/>
        </w:rPr>
        <w:tab/>
        <w:t>B. Peleteiro, A. Bastos, A. Ferro, and N. Lunet, “Prevalence of Helicobacter pylori infection worldwide: A systematic review of studies with national coverage,”</w:t>
      </w:r>
      <w:r w:rsidRPr="00B82E15">
        <w:rPr>
          <w:i/>
          <w:iCs/>
          <w:noProof/>
          <w:sz w:val="16"/>
          <w:szCs w:val="20"/>
        </w:rPr>
        <w:t>Dig. Dec. science.</w:t>
      </w:r>
      <w:r w:rsidRPr="00B82E15">
        <w:rPr>
          <w:noProof/>
          <w:sz w:val="16"/>
          <w:szCs w:val="20"/>
        </w:rPr>
        <w:t>, vol. 59, no. 8, pp. 1698–1709, 2014, doi:10.1007/s10620-014-3063-0.</w:t>
      </w:r>
    </w:p>
    <w:p w14:paraId="171B3288" w14:textId="77777777" w:rsidR="000137F7" w:rsidRPr="00B82E15" w:rsidRDefault="000137F7" w:rsidP="00132C0C">
      <w:pPr>
        <w:widowControl w:val="0"/>
        <w:autoSpaceDE w:val="0"/>
        <w:autoSpaceDN w:val="0"/>
        <w:adjustRightInd w:val="0"/>
        <w:ind w:left="360" w:hanging="360"/>
        <w:jc w:val="both"/>
        <w:rPr>
          <w:noProof/>
          <w:sz w:val="16"/>
          <w:szCs w:val="20"/>
        </w:rPr>
      </w:pPr>
      <w:r w:rsidRPr="00B82E15">
        <w:rPr>
          <w:noProof/>
          <w:sz w:val="16"/>
          <w:szCs w:val="20"/>
        </w:rPr>
        <w:t>[5]</w:t>
      </w:r>
      <w:r w:rsidRPr="00B82E15">
        <w:rPr>
          <w:noProof/>
          <w:sz w:val="16"/>
          <w:szCs w:val="20"/>
        </w:rPr>
        <w:tab/>
        <w:t>KM Fock, “Review article: The epidemiology and prevention of gastric cancer,”</w:t>
      </w:r>
      <w:r w:rsidRPr="00B82E15">
        <w:rPr>
          <w:i/>
          <w:iCs/>
          <w:noProof/>
          <w:sz w:val="16"/>
          <w:szCs w:val="20"/>
        </w:rPr>
        <w:t>Aliments. Pharmacol. ther.</w:t>
      </w:r>
      <w:r w:rsidRPr="00B82E15">
        <w:rPr>
          <w:noProof/>
          <w:sz w:val="16"/>
          <w:szCs w:val="20"/>
        </w:rPr>
        <w:t>, vol. 40, no. 3, pp. 250–260, 2014, doi:10.1111/apt.12814.</w:t>
      </w:r>
    </w:p>
    <w:p w14:paraId="096E4734" w14:textId="77777777" w:rsidR="000137F7" w:rsidRPr="00B82E15" w:rsidRDefault="000137F7" w:rsidP="00132C0C">
      <w:pPr>
        <w:widowControl w:val="0"/>
        <w:autoSpaceDE w:val="0"/>
        <w:autoSpaceDN w:val="0"/>
        <w:adjustRightInd w:val="0"/>
        <w:ind w:left="360" w:hanging="360"/>
        <w:jc w:val="both"/>
        <w:rPr>
          <w:noProof/>
          <w:sz w:val="16"/>
          <w:szCs w:val="20"/>
        </w:rPr>
      </w:pPr>
      <w:r w:rsidRPr="00B82E15">
        <w:rPr>
          <w:noProof/>
          <w:sz w:val="16"/>
          <w:szCs w:val="20"/>
        </w:rPr>
        <w:t>[6]</w:t>
      </w:r>
      <w:r w:rsidRPr="00B82E15">
        <w:rPr>
          <w:noProof/>
          <w:sz w:val="16"/>
          <w:szCs w:val="20"/>
        </w:rPr>
        <w:tab/>
        <w:t>MM Masyitoh</w:t>
      </w:r>
      <w:r w:rsidRPr="00B82E15">
        <w:rPr>
          <w:i/>
          <w:iCs/>
          <w:noProof/>
          <w:sz w:val="16"/>
          <w:szCs w:val="20"/>
        </w:rPr>
        <w:t>et al.</w:t>
      </w:r>
      <w:r w:rsidRPr="00B82E15">
        <w:rPr>
          <w:noProof/>
          <w:sz w:val="16"/>
          <w:szCs w:val="20"/>
        </w:rPr>
        <w:t>, “The Effect of Fasting on Health of Stomach Digestion System,” Muhammadiyah Int. Public Health. Med. Proceedings, vol. 1, no. 1, pp. 995–1000, 2021, doi:10.53947/miphmp.v1i1.166.</w:t>
      </w:r>
    </w:p>
    <w:p w14:paraId="66AE476B" w14:textId="77777777" w:rsidR="000137F7" w:rsidRPr="00B82E15" w:rsidRDefault="000137F7" w:rsidP="00132C0C">
      <w:pPr>
        <w:widowControl w:val="0"/>
        <w:autoSpaceDE w:val="0"/>
        <w:autoSpaceDN w:val="0"/>
        <w:adjustRightInd w:val="0"/>
        <w:ind w:left="360" w:hanging="360"/>
        <w:jc w:val="both"/>
        <w:rPr>
          <w:noProof/>
          <w:sz w:val="16"/>
          <w:szCs w:val="20"/>
        </w:rPr>
      </w:pPr>
      <w:r w:rsidRPr="00B82E15">
        <w:rPr>
          <w:noProof/>
          <w:sz w:val="16"/>
          <w:szCs w:val="20"/>
        </w:rPr>
        <w:t>[7]</w:t>
      </w:r>
      <w:r w:rsidRPr="00B82E15">
        <w:rPr>
          <w:noProof/>
          <w:sz w:val="16"/>
          <w:szCs w:val="20"/>
        </w:rPr>
        <w:tab/>
        <w:t>LY Silaban, "DESCRIPTION OF CHARACTERISTICS OF PATIENTS OF GASTRITIS IN SANTA ELISABETH HOSPITAL, MEDAN, 2018 IN SANTA ELISABETH HOSPITAL, MEDAN," 2019.</w:t>
      </w:r>
    </w:p>
    <w:p w14:paraId="46F6B02F" w14:textId="77777777" w:rsidR="000137F7" w:rsidRPr="00B82E15" w:rsidRDefault="000137F7" w:rsidP="00132C0C">
      <w:pPr>
        <w:widowControl w:val="0"/>
        <w:autoSpaceDE w:val="0"/>
        <w:autoSpaceDN w:val="0"/>
        <w:adjustRightInd w:val="0"/>
        <w:ind w:left="360" w:hanging="360"/>
        <w:jc w:val="both"/>
        <w:rPr>
          <w:noProof/>
          <w:sz w:val="16"/>
          <w:szCs w:val="20"/>
        </w:rPr>
      </w:pPr>
      <w:r w:rsidRPr="00B82E15">
        <w:rPr>
          <w:noProof/>
          <w:sz w:val="16"/>
          <w:szCs w:val="20"/>
        </w:rPr>
        <w:t>[8]</w:t>
      </w:r>
      <w:r w:rsidRPr="00B82E15">
        <w:rPr>
          <w:noProof/>
          <w:sz w:val="16"/>
          <w:szCs w:val="20"/>
        </w:rPr>
        <w:tab/>
        <w:t>F. Yatmi, “Student Diet WithGastritis Involved In Student Organization Activities at Jakarta State Islamic University,” vol. 1, 2017.</w:t>
      </w:r>
    </w:p>
    <w:p w14:paraId="00D1CC87" w14:textId="77777777" w:rsidR="000137F7" w:rsidRPr="00B82E15" w:rsidRDefault="000137F7" w:rsidP="00132C0C">
      <w:pPr>
        <w:widowControl w:val="0"/>
        <w:autoSpaceDE w:val="0"/>
        <w:autoSpaceDN w:val="0"/>
        <w:adjustRightInd w:val="0"/>
        <w:ind w:left="360" w:hanging="360"/>
        <w:jc w:val="both"/>
        <w:rPr>
          <w:noProof/>
          <w:sz w:val="16"/>
          <w:szCs w:val="20"/>
        </w:rPr>
      </w:pPr>
      <w:r w:rsidRPr="00B82E15">
        <w:rPr>
          <w:noProof/>
          <w:sz w:val="16"/>
          <w:szCs w:val="20"/>
        </w:rPr>
        <w:t>[9]</w:t>
      </w:r>
      <w:r w:rsidRPr="00B82E15">
        <w:rPr>
          <w:noProof/>
          <w:sz w:val="16"/>
          <w:szCs w:val="20"/>
        </w:rPr>
        <w:tab/>
        <w:t>C. Dunne, B. Dolan, and M. Clyne, “Factors that mediate colonization of the human stomach by Helicobacter pylori,”</w:t>
      </w:r>
      <w:r w:rsidRPr="00B82E15">
        <w:rPr>
          <w:i/>
          <w:iCs/>
          <w:noProof/>
          <w:sz w:val="16"/>
          <w:szCs w:val="20"/>
        </w:rPr>
        <w:t>World J. Gastroenterol.</w:t>
      </w:r>
      <w:r w:rsidRPr="00B82E15">
        <w:rPr>
          <w:noProof/>
          <w:sz w:val="16"/>
          <w:szCs w:val="20"/>
        </w:rPr>
        <w:t>, vol. 20, no. 19, pp. 5610–5624, 2014, doi:10.3748/wjg.v20.i19.5610.</w:t>
      </w:r>
    </w:p>
    <w:p w14:paraId="0B9FF52B" w14:textId="77777777" w:rsidR="000137F7" w:rsidRPr="00B82E15" w:rsidRDefault="000137F7" w:rsidP="00132C0C">
      <w:pPr>
        <w:widowControl w:val="0"/>
        <w:autoSpaceDE w:val="0"/>
        <w:autoSpaceDN w:val="0"/>
        <w:adjustRightInd w:val="0"/>
        <w:ind w:left="360" w:hanging="360"/>
        <w:jc w:val="both"/>
        <w:rPr>
          <w:noProof/>
          <w:sz w:val="16"/>
          <w:szCs w:val="20"/>
        </w:rPr>
      </w:pPr>
      <w:r w:rsidRPr="00B82E15">
        <w:rPr>
          <w:noProof/>
          <w:sz w:val="16"/>
          <w:szCs w:val="20"/>
        </w:rPr>
        <w:t>[10]</w:t>
      </w:r>
      <w:r w:rsidRPr="00B82E15">
        <w:rPr>
          <w:noProof/>
          <w:sz w:val="16"/>
          <w:szCs w:val="20"/>
        </w:rPr>
        <w:tab/>
        <w:t>K. Sánchez-Alonzo</w:t>
      </w:r>
      <w:r w:rsidRPr="00B82E15">
        <w:rPr>
          <w:i/>
          <w:iCs/>
          <w:noProof/>
          <w:sz w:val="16"/>
          <w:szCs w:val="20"/>
        </w:rPr>
        <w:t>et al.</w:t>
      </w:r>
      <w:r w:rsidRPr="00B82E15">
        <w:rPr>
          <w:noProof/>
          <w:sz w:val="16"/>
          <w:szCs w:val="20"/>
        </w:rPr>
        <w:t>, “In vitro incorporation of Helicobacter pylori into Candida albicans caused by acidic pH stress,” Pathogens, vol. 9, no. 6, pp. 1–10, 2020, doi:10.3390/pathogens9060489.</w:t>
      </w:r>
    </w:p>
    <w:p w14:paraId="128D26DA" w14:textId="77777777" w:rsidR="000137F7" w:rsidRPr="00B82E15" w:rsidRDefault="000137F7" w:rsidP="00132C0C">
      <w:pPr>
        <w:widowControl w:val="0"/>
        <w:autoSpaceDE w:val="0"/>
        <w:autoSpaceDN w:val="0"/>
        <w:adjustRightInd w:val="0"/>
        <w:ind w:left="360" w:hanging="360"/>
        <w:jc w:val="both"/>
        <w:rPr>
          <w:noProof/>
          <w:sz w:val="16"/>
          <w:szCs w:val="20"/>
        </w:rPr>
      </w:pPr>
      <w:r w:rsidRPr="00B82E15">
        <w:rPr>
          <w:noProof/>
          <w:sz w:val="16"/>
          <w:szCs w:val="20"/>
        </w:rPr>
        <w:t>[11]</w:t>
      </w:r>
      <w:r w:rsidRPr="00B82E15">
        <w:rPr>
          <w:noProof/>
          <w:sz w:val="16"/>
          <w:szCs w:val="20"/>
        </w:rPr>
        <w:tab/>
        <w:t>SH Rampengan, "The Relationship between Helicobacter Pylori and Left Ventricular Ejection Fraction in Acute Myocardial Infarction Patients,"</w:t>
      </w:r>
      <w:r w:rsidRPr="00B82E15">
        <w:rPr>
          <w:i/>
          <w:iCs/>
          <w:noProof/>
          <w:sz w:val="16"/>
          <w:szCs w:val="20"/>
        </w:rPr>
        <w:t>fact. Causes of Stress in Health Workers. And Masy. During the Covid-19 Pandemic</w:t>
      </w:r>
      <w:r w:rsidRPr="00B82E15">
        <w:rPr>
          <w:noProof/>
          <w:sz w:val="16"/>
          <w:szCs w:val="20"/>
        </w:rPr>
        <w:t>, pp. 1–42, 2016, [Online]. Available: http://repo.unsrat.ac.id/1129/.</w:t>
      </w:r>
    </w:p>
    <w:p w14:paraId="4C1828F6" w14:textId="77777777" w:rsidR="000137F7" w:rsidRPr="00B82E15" w:rsidRDefault="000137F7" w:rsidP="00132C0C">
      <w:pPr>
        <w:widowControl w:val="0"/>
        <w:autoSpaceDE w:val="0"/>
        <w:autoSpaceDN w:val="0"/>
        <w:adjustRightInd w:val="0"/>
        <w:ind w:left="360" w:hanging="360"/>
        <w:jc w:val="both"/>
        <w:rPr>
          <w:noProof/>
          <w:sz w:val="16"/>
          <w:szCs w:val="20"/>
        </w:rPr>
      </w:pPr>
      <w:r w:rsidRPr="00B82E15">
        <w:rPr>
          <w:noProof/>
          <w:sz w:val="16"/>
          <w:szCs w:val="20"/>
        </w:rPr>
        <w:t>[12]</w:t>
      </w:r>
      <w:r w:rsidRPr="00B82E15">
        <w:rPr>
          <w:noProof/>
          <w:sz w:val="16"/>
          <w:szCs w:val="20"/>
        </w:rPr>
        <w:tab/>
        <w:t>YK Wang</w:t>
      </w:r>
      <w:r w:rsidRPr="00B82E15">
        <w:rPr>
          <w:i/>
          <w:iCs/>
          <w:noProof/>
          <w:sz w:val="16"/>
          <w:szCs w:val="20"/>
        </w:rPr>
        <w:t>et al.</w:t>
      </w:r>
      <w:r w:rsidRPr="00B82E15">
        <w:rPr>
          <w:noProof/>
          <w:sz w:val="16"/>
          <w:szCs w:val="20"/>
        </w:rPr>
        <w:t>, “Diagnosis of helicobacter pylori infection: Current options and developments,” World J. Gastroenterol., vol. 21, no. 40, pp. 11221–11235, 2015, doi:10.3748/wjg.v21.i40.11221.</w:t>
      </w:r>
    </w:p>
    <w:p w14:paraId="55E84A8F" w14:textId="77777777" w:rsidR="000137F7" w:rsidRPr="00B82E15" w:rsidRDefault="000137F7" w:rsidP="00132C0C">
      <w:pPr>
        <w:widowControl w:val="0"/>
        <w:autoSpaceDE w:val="0"/>
        <w:autoSpaceDN w:val="0"/>
        <w:adjustRightInd w:val="0"/>
        <w:ind w:left="360" w:hanging="360"/>
        <w:jc w:val="both"/>
        <w:rPr>
          <w:noProof/>
          <w:sz w:val="16"/>
          <w:szCs w:val="20"/>
        </w:rPr>
      </w:pPr>
      <w:r w:rsidRPr="00B82E15">
        <w:rPr>
          <w:noProof/>
          <w:sz w:val="16"/>
          <w:szCs w:val="20"/>
        </w:rPr>
        <w:t>[13]</w:t>
      </w:r>
      <w:r w:rsidRPr="00B82E15">
        <w:rPr>
          <w:noProof/>
          <w:sz w:val="16"/>
          <w:szCs w:val="20"/>
        </w:rPr>
        <w:tab/>
        <w:t>M. Miftahussurur</w:t>
      </w:r>
      <w:r w:rsidRPr="00B82E15">
        <w:rPr>
          <w:i/>
          <w:iCs/>
          <w:noProof/>
          <w:sz w:val="16"/>
          <w:szCs w:val="20"/>
        </w:rPr>
        <w:t>et al.</w:t>
      </w:r>
      <w:r w:rsidRPr="00B82E15">
        <w:rPr>
          <w:noProof/>
          <w:sz w:val="16"/>
          <w:szCs w:val="20"/>
        </w:rPr>
        <w:t>, “Diagnostic value of 14C urea breath test for Helicobacter pylori detection compared by histopathology in Indonesian dyspeptic patients,” Clin. Exp. Gastroenterol., vol. 14, pp. 291–296, 2021, doi:10.2147/CEG.S306626.</w:t>
      </w:r>
    </w:p>
    <w:p w14:paraId="4B81225F" w14:textId="77777777" w:rsidR="000137F7" w:rsidRPr="00B82E15" w:rsidRDefault="000137F7" w:rsidP="00132C0C">
      <w:pPr>
        <w:widowControl w:val="0"/>
        <w:autoSpaceDE w:val="0"/>
        <w:autoSpaceDN w:val="0"/>
        <w:adjustRightInd w:val="0"/>
        <w:ind w:left="360" w:hanging="360"/>
        <w:jc w:val="both"/>
        <w:rPr>
          <w:noProof/>
          <w:sz w:val="16"/>
          <w:szCs w:val="20"/>
        </w:rPr>
      </w:pPr>
      <w:r w:rsidRPr="00B82E15">
        <w:rPr>
          <w:noProof/>
          <w:sz w:val="16"/>
          <w:szCs w:val="20"/>
        </w:rPr>
        <w:t>[14]</w:t>
      </w:r>
      <w:r w:rsidRPr="00B82E15">
        <w:rPr>
          <w:noProof/>
          <w:sz w:val="16"/>
          <w:szCs w:val="20"/>
        </w:rPr>
        <w:tab/>
        <w:t>T. Giza, “Neutrophil Lymphocyte Ratio as a Predictor of Ischemic Stroke Severity Outcomes and Discussion,” vol. 10, no. 2, pp. 217–221, 2019, doi:10.35816/jiskh.v10i2.153.</w:t>
      </w:r>
    </w:p>
    <w:p w14:paraId="341068DC" w14:textId="77777777" w:rsidR="000137F7" w:rsidRPr="00B82E15" w:rsidRDefault="000137F7" w:rsidP="00132C0C">
      <w:pPr>
        <w:widowControl w:val="0"/>
        <w:autoSpaceDE w:val="0"/>
        <w:autoSpaceDN w:val="0"/>
        <w:adjustRightInd w:val="0"/>
        <w:ind w:left="360" w:hanging="360"/>
        <w:jc w:val="both"/>
        <w:rPr>
          <w:noProof/>
          <w:sz w:val="16"/>
          <w:szCs w:val="20"/>
        </w:rPr>
      </w:pPr>
      <w:r w:rsidRPr="00B82E15">
        <w:rPr>
          <w:noProof/>
          <w:sz w:val="16"/>
          <w:szCs w:val="20"/>
        </w:rPr>
        <w:t>[15]</w:t>
      </w:r>
      <w:r w:rsidRPr="00B82E15">
        <w:rPr>
          <w:noProof/>
          <w:sz w:val="16"/>
          <w:szCs w:val="20"/>
        </w:rPr>
        <w:tab/>
        <w:t>Y. Atayan and P. Hacisalihoglu, “serum neutrophil / lymphocyte ratio in patients with active chronic gastritis The correlation between tissue Helicobacter pylori severity and the increase in serum neutrophil / lymphocyte ratio in patients with active chronic gastritis .," no. January 2017, 2019.</w:t>
      </w:r>
    </w:p>
    <w:p w14:paraId="74938B4C" w14:textId="77777777" w:rsidR="000137F7" w:rsidRPr="00B82E15" w:rsidRDefault="000137F7" w:rsidP="00132C0C">
      <w:pPr>
        <w:widowControl w:val="0"/>
        <w:autoSpaceDE w:val="0"/>
        <w:autoSpaceDN w:val="0"/>
        <w:adjustRightInd w:val="0"/>
        <w:ind w:left="360" w:hanging="360"/>
        <w:jc w:val="both"/>
        <w:rPr>
          <w:noProof/>
          <w:sz w:val="16"/>
          <w:szCs w:val="20"/>
        </w:rPr>
      </w:pPr>
      <w:r w:rsidRPr="00B82E15">
        <w:rPr>
          <w:noProof/>
          <w:sz w:val="16"/>
          <w:szCs w:val="20"/>
        </w:rPr>
        <w:t>[16]</w:t>
      </w:r>
      <w:r w:rsidRPr="00B82E15">
        <w:rPr>
          <w:noProof/>
          <w:sz w:val="16"/>
          <w:szCs w:val="20"/>
        </w:rPr>
        <w:tab/>
        <w:t>SA Shamsdin</w:t>
      </w:r>
      <w:r w:rsidRPr="00B82E15">
        <w:rPr>
          <w:i/>
          <w:iCs/>
          <w:noProof/>
          <w:sz w:val="16"/>
          <w:szCs w:val="20"/>
        </w:rPr>
        <w:t>et al.</w:t>
      </w:r>
      <w:r w:rsidRPr="00B82E15">
        <w:rPr>
          <w:noProof/>
          <w:sz w:val="16"/>
          <w:szCs w:val="20"/>
        </w:rPr>
        <w:t>, “The importance of TH22 and TC22 cells in the pathogenesis of Helicobacter pylori-associated gastric diseases,” pp. 1–10, 2016, doi:10.1111/hel.12367.</w:t>
      </w:r>
    </w:p>
    <w:p w14:paraId="5B53D878" w14:textId="77777777" w:rsidR="000137F7" w:rsidRPr="00B82E15" w:rsidRDefault="000137F7" w:rsidP="00132C0C">
      <w:pPr>
        <w:widowControl w:val="0"/>
        <w:autoSpaceDE w:val="0"/>
        <w:autoSpaceDN w:val="0"/>
        <w:adjustRightInd w:val="0"/>
        <w:ind w:left="360" w:hanging="360"/>
        <w:jc w:val="both"/>
        <w:rPr>
          <w:noProof/>
          <w:sz w:val="16"/>
          <w:szCs w:val="20"/>
        </w:rPr>
      </w:pPr>
      <w:r w:rsidRPr="00B82E15">
        <w:rPr>
          <w:noProof/>
          <w:sz w:val="16"/>
          <w:szCs w:val="20"/>
        </w:rPr>
        <w:t>[17]</w:t>
      </w:r>
      <w:r w:rsidRPr="00B82E15">
        <w:rPr>
          <w:noProof/>
          <w:sz w:val="16"/>
          <w:szCs w:val="20"/>
        </w:rPr>
        <w:tab/>
        <w:t>L. Wang</w:t>
      </w:r>
      <w:r w:rsidRPr="00B82E15">
        <w:rPr>
          <w:i/>
          <w:iCs/>
          <w:noProof/>
          <w:sz w:val="16"/>
          <w:szCs w:val="20"/>
        </w:rPr>
        <w:t>et al.</w:t>
      </w:r>
      <w:r w:rsidRPr="00B82E15">
        <w:rPr>
          <w:noProof/>
          <w:sz w:val="16"/>
          <w:szCs w:val="20"/>
        </w:rPr>
        <w:t>, “Journal of the Neurological Sciences Neutrophil to lymphocyte ratio predicts poor outcomes after acute ischemic stroke : A cohort study and systematic review,” J. Neurol. Sci., vol. 406, no. August, p. 116445, 2019, doi:10.1016/j.jns.2019.116445.</w:t>
      </w:r>
    </w:p>
    <w:p w14:paraId="3AA46928" w14:textId="77777777" w:rsidR="000137F7" w:rsidRPr="00B82E15" w:rsidRDefault="000137F7" w:rsidP="00132C0C">
      <w:pPr>
        <w:widowControl w:val="0"/>
        <w:autoSpaceDE w:val="0"/>
        <w:autoSpaceDN w:val="0"/>
        <w:adjustRightInd w:val="0"/>
        <w:ind w:left="360" w:hanging="360"/>
        <w:jc w:val="both"/>
        <w:rPr>
          <w:noProof/>
          <w:sz w:val="16"/>
          <w:szCs w:val="20"/>
        </w:rPr>
      </w:pPr>
      <w:r w:rsidRPr="00B82E15">
        <w:rPr>
          <w:noProof/>
          <w:sz w:val="16"/>
          <w:szCs w:val="20"/>
        </w:rPr>
        <w:t>[18]</w:t>
      </w:r>
      <w:r w:rsidRPr="00B82E15">
        <w:rPr>
          <w:noProof/>
          <w:sz w:val="16"/>
          <w:szCs w:val="20"/>
        </w:rPr>
        <w:tab/>
        <w:t>CP Dixon MF, Genta RM, Yardley JH, “Classification and grading of gastritis. The updated Sydney System,” vol. 20, no. 10, p. 81, 1996, doi:10.1097/0000478-199610000-00001.</w:t>
      </w:r>
    </w:p>
    <w:p w14:paraId="5062FD25" w14:textId="77777777" w:rsidR="000137F7" w:rsidRPr="00B82E15" w:rsidRDefault="000137F7" w:rsidP="00132C0C">
      <w:pPr>
        <w:widowControl w:val="0"/>
        <w:autoSpaceDE w:val="0"/>
        <w:autoSpaceDN w:val="0"/>
        <w:adjustRightInd w:val="0"/>
        <w:ind w:left="360" w:hanging="360"/>
        <w:jc w:val="both"/>
        <w:rPr>
          <w:noProof/>
          <w:sz w:val="16"/>
          <w:szCs w:val="20"/>
        </w:rPr>
      </w:pPr>
      <w:r w:rsidRPr="00B82E15">
        <w:rPr>
          <w:noProof/>
          <w:sz w:val="16"/>
          <w:szCs w:val="20"/>
        </w:rPr>
        <w:t>[19]</w:t>
      </w:r>
      <w:r w:rsidRPr="00B82E15">
        <w:rPr>
          <w:noProof/>
          <w:sz w:val="16"/>
          <w:szCs w:val="20"/>
        </w:rPr>
        <w:tab/>
        <w:t>D. Ariefiany, AH Hassan, BM Dewayani, and A. Yantisetiasti, “Analysis of histopathological features of chronic gastritis with and without Helicobacter pylori according to the Sydney system,” vol. 23, no. 2, 2014.</w:t>
      </w:r>
    </w:p>
    <w:p w14:paraId="00965793" w14:textId="77777777" w:rsidR="000137F7" w:rsidRPr="00B82E15" w:rsidRDefault="000137F7" w:rsidP="00132C0C">
      <w:pPr>
        <w:widowControl w:val="0"/>
        <w:autoSpaceDE w:val="0"/>
        <w:autoSpaceDN w:val="0"/>
        <w:adjustRightInd w:val="0"/>
        <w:ind w:left="360" w:hanging="360"/>
        <w:jc w:val="both"/>
        <w:rPr>
          <w:noProof/>
          <w:sz w:val="16"/>
          <w:szCs w:val="20"/>
        </w:rPr>
      </w:pPr>
      <w:r w:rsidRPr="00B82E15">
        <w:rPr>
          <w:noProof/>
          <w:sz w:val="16"/>
          <w:szCs w:val="20"/>
        </w:rPr>
        <w:t>[20]</w:t>
      </w:r>
      <w:r w:rsidRPr="00B82E15">
        <w:rPr>
          <w:noProof/>
          <w:sz w:val="16"/>
          <w:szCs w:val="20"/>
        </w:rPr>
        <w:tab/>
        <w:t xml:space="preserve">L. Pramita, WB Uwan, and MI Kahtan,"DESCRIPTION OF ESOPHAGOGASTRODUODENOSCOPIC EXAMINATION RESULTS IN DYSPEPSIA SYNDROME PATIENTS IN SAINT </w:t>
      </w:r>
      <w:r w:rsidRPr="00B82E15">
        <w:rPr>
          <w:noProof/>
          <w:sz w:val="16"/>
          <w:szCs w:val="20"/>
        </w:rPr>
        <w:t>ANTONIUS PONTIANAK GENERAL HOSPITAL 2015-2016," pp. 3–11, 2016.</w:t>
      </w:r>
    </w:p>
    <w:p w14:paraId="22AA61CB" w14:textId="77777777" w:rsidR="000137F7" w:rsidRPr="00B82E15" w:rsidRDefault="000137F7" w:rsidP="00132C0C">
      <w:pPr>
        <w:widowControl w:val="0"/>
        <w:autoSpaceDE w:val="0"/>
        <w:autoSpaceDN w:val="0"/>
        <w:adjustRightInd w:val="0"/>
        <w:ind w:left="360" w:hanging="360"/>
        <w:jc w:val="both"/>
        <w:rPr>
          <w:noProof/>
          <w:sz w:val="16"/>
          <w:szCs w:val="20"/>
        </w:rPr>
      </w:pPr>
      <w:r w:rsidRPr="00B82E15">
        <w:rPr>
          <w:noProof/>
          <w:sz w:val="16"/>
          <w:szCs w:val="20"/>
        </w:rPr>
        <w:t>[21]</w:t>
      </w:r>
      <w:r w:rsidRPr="00B82E15">
        <w:rPr>
          <w:noProof/>
          <w:sz w:val="16"/>
          <w:szCs w:val="20"/>
        </w:rPr>
        <w:tab/>
        <w:t>P. Sipponen and H. Maaroos, “Chronic gastritis Chronic gastritis,” vol. 5521, 2015, doi:10.3109/00365521.2015.1019918.</w:t>
      </w:r>
    </w:p>
    <w:p w14:paraId="7D7675D8" w14:textId="77777777" w:rsidR="000137F7" w:rsidRPr="00B82E15" w:rsidRDefault="000137F7" w:rsidP="00132C0C">
      <w:pPr>
        <w:widowControl w:val="0"/>
        <w:autoSpaceDE w:val="0"/>
        <w:autoSpaceDN w:val="0"/>
        <w:adjustRightInd w:val="0"/>
        <w:ind w:left="360" w:hanging="360"/>
        <w:jc w:val="both"/>
        <w:rPr>
          <w:noProof/>
          <w:sz w:val="16"/>
          <w:szCs w:val="20"/>
        </w:rPr>
      </w:pPr>
      <w:r w:rsidRPr="00B82E15">
        <w:rPr>
          <w:noProof/>
          <w:sz w:val="16"/>
          <w:szCs w:val="20"/>
        </w:rPr>
        <w:t>[22]</w:t>
      </w:r>
      <w:r w:rsidRPr="00B82E15">
        <w:rPr>
          <w:noProof/>
          <w:sz w:val="16"/>
          <w:szCs w:val="20"/>
        </w:rPr>
        <w:tab/>
        <w:t>FA Dja'far, LI Laksmi, M. Lubis, and GA Siregar, "The Relationship between Helicobacter Pylori Cytotoxin-Associated Gene A (CagA) Positive and Negative with Histopathological Severity of Gastritis,"</w:t>
      </w:r>
      <w:r w:rsidRPr="00B82E15">
        <w:rPr>
          <w:i/>
          <w:iCs/>
          <w:noProof/>
          <w:sz w:val="16"/>
          <w:szCs w:val="20"/>
        </w:rPr>
        <w:t>J. Med. Sch.</w:t>
      </w:r>
      <w:r w:rsidRPr="00B82E15">
        <w:rPr>
          <w:noProof/>
          <w:sz w:val="16"/>
          <w:szCs w:val="20"/>
        </w:rPr>
        <w:t>, vol. 52, no. 2, pp. 56–60, 2019.</w:t>
      </w:r>
    </w:p>
    <w:p w14:paraId="4493E7A7" w14:textId="77777777" w:rsidR="000137F7" w:rsidRPr="00B82E15" w:rsidRDefault="000137F7" w:rsidP="00132C0C">
      <w:pPr>
        <w:widowControl w:val="0"/>
        <w:autoSpaceDE w:val="0"/>
        <w:autoSpaceDN w:val="0"/>
        <w:adjustRightInd w:val="0"/>
        <w:ind w:left="360" w:hanging="360"/>
        <w:jc w:val="both"/>
        <w:rPr>
          <w:noProof/>
          <w:sz w:val="16"/>
          <w:szCs w:val="20"/>
        </w:rPr>
      </w:pPr>
      <w:r w:rsidRPr="00B82E15">
        <w:rPr>
          <w:noProof/>
          <w:sz w:val="16"/>
          <w:szCs w:val="20"/>
        </w:rPr>
        <w:t>[23]</w:t>
      </w:r>
      <w:r w:rsidRPr="00B82E15">
        <w:rPr>
          <w:noProof/>
          <w:sz w:val="16"/>
          <w:szCs w:val="20"/>
        </w:rPr>
        <w:tab/>
        <w:t>MJ Parnham, “Reactive oxygen species inflammation and rheumatoid arthritis,”</w:t>
      </w:r>
      <w:r w:rsidRPr="00B82E15">
        <w:rPr>
          <w:i/>
          <w:iCs/>
          <w:noProof/>
          <w:sz w:val="16"/>
          <w:szCs w:val="20"/>
        </w:rPr>
        <w:t>Pharm. Weekbl.</w:t>
      </w:r>
      <w:r w:rsidRPr="00B82E15">
        <w:rPr>
          <w:noProof/>
          <w:sz w:val="16"/>
          <w:szCs w:val="20"/>
        </w:rPr>
        <w:t>, vol. 125, no. 21, pp. 529–535, 2020.</w:t>
      </w:r>
    </w:p>
    <w:p w14:paraId="792ABD6B" w14:textId="77777777" w:rsidR="000137F7" w:rsidRPr="00B82E15" w:rsidRDefault="000137F7" w:rsidP="00132C0C">
      <w:pPr>
        <w:widowControl w:val="0"/>
        <w:autoSpaceDE w:val="0"/>
        <w:autoSpaceDN w:val="0"/>
        <w:adjustRightInd w:val="0"/>
        <w:ind w:left="360" w:hanging="360"/>
        <w:jc w:val="both"/>
        <w:rPr>
          <w:noProof/>
          <w:sz w:val="16"/>
          <w:szCs w:val="20"/>
        </w:rPr>
      </w:pPr>
      <w:r w:rsidRPr="00B82E15">
        <w:rPr>
          <w:noProof/>
          <w:sz w:val="16"/>
          <w:szCs w:val="20"/>
        </w:rPr>
        <w:t>[24]</w:t>
      </w:r>
      <w:r w:rsidRPr="00B82E15">
        <w:rPr>
          <w:noProof/>
          <w:sz w:val="16"/>
          <w:szCs w:val="20"/>
        </w:rPr>
        <w:tab/>
        <w:t>M. Macarthur, GL Hold, and EM El-Omar, “Inflammation and Cancer II. Role of chronic inflammation and cytokine gene polymorphisms in the pathogenesis of gastrointestinal malignancy,”</w:t>
      </w:r>
      <w:r w:rsidRPr="00B82E15">
        <w:rPr>
          <w:i/>
          <w:iCs/>
          <w:noProof/>
          <w:sz w:val="16"/>
          <w:szCs w:val="20"/>
        </w:rPr>
        <w:t>Am. J. Physiol. - Gastrointestinal. Liver Physiol.</w:t>
      </w:r>
      <w:r w:rsidRPr="00B82E15">
        <w:rPr>
          <w:noProof/>
          <w:sz w:val="16"/>
          <w:szCs w:val="20"/>
        </w:rPr>
        <w:t>, vol. 286, no. 4 49-4, pp. 515–520, 2004, doi:10.1152/ajpgi.00475.2003.</w:t>
      </w:r>
    </w:p>
    <w:p w14:paraId="77B1A435" w14:textId="77777777" w:rsidR="000137F7" w:rsidRPr="00B82E15" w:rsidRDefault="000137F7" w:rsidP="00132C0C">
      <w:pPr>
        <w:widowControl w:val="0"/>
        <w:autoSpaceDE w:val="0"/>
        <w:autoSpaceDN w:val="0"/>
        <w:adjustRightInd w:val="0"/>
        <w:ind w:left="360" w:hanging="360"/>
        <w:jc w:val="both"/>
        <w:rPr>
          <w:noProof/>
          <w:sz w:val="16"/>
          <w:szCs w:val="20"/>
        </w:rPr>
      </w:pPr>
      <w:r w:rsidRPr="00B82E15">
        <w:rPr>
          <w:noProof/>
          <w:sz w:val="16"/>
          <w:szCs w:val="20"/>
        </w:rPr>
        <w:t>[25]</w:t>
      </w:r>
      <w:r w:rsidRPr="00B82E15">
        <w:rPr>
          <w:noProof/>
          <w:sz w:val="16"/>
          <w:szCs w:val="20"/>
        </w:rPr>
        <w:tab/>
        <w:t>IBK Suardana, "Basic Immunology Dictation of the immune system,"</w:t>
      </w:r>
      <w:r w:rsidRPr="00B82E15">
        <w:rPr>
          <w:i/>
          <w:iCs/>
          <w:noProof/>
          <w:sz w:val="16"/>
          <w:szCs w:val="20"/>
        </w:rPr>
        <w:t>Http://Simdos.Unud.Ac.Id</w:t>
      </w:r>
      <w:r w:rsidRPr="00B82E15">
        <w:rPr>
          <w:noProof/>
          <w:sz w:val="16"/>
          <w:szCs w:val="20"/>
        </w:rPr>
        <w:t>, pp. 1–36, 2017, [Online]. Available: https://simdos.unud.ac.id/uploads/file_ Pendidikan_1_dir/284a0e69155751dc6c459b07f14bc03c.pdf.</w:t>
      </w:r>
    </w:p>
    <w:p w14:paraId="74F58CA5" w14:textId="77777777" w:rsidR="000137F7" w:rsidRPr="00B82E15" w:rsidRDefault="000137F7" w:rsidP="00132C0C">
      <w:pPr>
        <w:widowControl w:val="0"/>
        <w:autoSpaceDE w:val="0"/>
        <w:autoSpaceDN w:val="0"/>
        <w:adjustRightInd w:val="0"/>
        <w:ind w:left="360" w:hanging="360"/>
        <w:jc w:val="both"/>
        <w:rPr>
          <w:noProof/>
          <w:sz w:val="16"/>
          <w:szCs w:val="20"/>
        </w:rPr>
      </w:pPr>
      <w:r w:rsidRPr="00B82E15">
        <w:rPr>
          <w:noProof/>
          <w:sz w:val="16"/>
          <w:szCs w:val="20"/>
        </w:rPr>
        <w:t>[26]</w:t>
      </w:r>
      <w:r w:rsidRPr="00B82E15">
        <w:rPr>
          <w:noProof/>
          <w:sz w:val="16"/>
          <w:szCs w:val="20"/>
        </w:rPr>
        <w:tab/>
        <w:t>A. Jafarzadeh, V. Akbarpoor, M. Nabizadeh, M. Nemati, and MT Rezayati, “Total leukocyte counts and neutrophil-lymphocyte count ratios among helicobacter pylori-infected patients with peptic ulcers: Independent of bacterial CagA status,”</w:t>
      </w:r>
      <w:r w:rsidRPr="00B82E15">
        <w:rPr>
          <w:i/>
          <w:iCs/>
          <w:noProof/>
          <w:sz w:val="16"/>
          <w:szCs w:val="20"/>
        </w:rPr>
        <w:t>Southeast Asian J. Trop. Med. Public Health</w:t>
      </w:r>
      <w:r w:rsidRPr="00B82E15">
        <w:rPr>
          <w:noProof/>
          <w:sz w:val="16"/>
          <w:szCs w:val="20"/>
        </w:rPr>
        <w:t>, vol. 44, no. 1, pp. 82–88, 2013.</w:t>
      </w:r>
    </w:p>
    <w:p w14:paraId="0B219ED7" w14:textId="77777777" w:rsidR="000137F7" w:rsidRPr="00B82E15" w:rsidRDefault="000137F7" w:rsidP="00132C0C">
      <w:pPr>
        <w:widowControl w:val="0"/>
        <w:autoSpaceDE w:val="0"/>
        <w:autoSpaceDN w:val="0"/>
        <w:adjustRightInd w:val="0"/>
        <w:ind w:left="360" w:hanging="360"/>
        <w:jc w:val="both"/>
        <w:rPr>
          <w:noProof/>
          <w:sz w:val="16"/>
          <w:szCs w:val="20"/>
        </w:rPr>
      </w:pPr>
      <w:r w:rsidRPr="00B82E15">
        <w:rPr>
          <w:noProof/>
          <w:sz w:val="16"/>
          <w:szCs w:val="20"/>
        </w:rPr>
        <w:t>[27]</w:t>
      </w:r>
      <w:r w:rsidRPr="00B82E15">
        <w:rPr>
          <w:noProof/>
          <w:sz w:val="16"/>
          <w:szCs w:val="20"/>
        </w:rPr>
        <w:tab/>
        <w:t>Y. Atayan and P. Hacisalihoglu, “The correlation between tissue Helicobacter pylori severity and the increase in serum neutrophil/lymphocyte ratio in patients with active chronic gastritis,”</w:t>
      </w:r>
      <w:r w:rsidRPr="00B82E15">
        <w:rPr>
          <w:i/>
          <w:iCs/>
          <w:noProof/>
          <w:sz w:val="16"/>
          <w:szCs w:val="20"/>
        </w:rPr>
        <w:t>biomed. res.</w:t>
      </w:r>
      <w:r w:rsidRPr="00B82E15">
        <w:rPr>
          <w:noProof/>
          <w:sz w:val="16"/>
          <w:szCs w:val="20"/>
        </w:rPr>
        <w:t>, vol. 28, no. 11, pp. 4874–4877, 2017.</w:t>
      </w:r>
    </w:p>
    <w:p w14:paraId="202B8875" w14:textId="18869F12" w:rsidR="00460B55" w:rsidRPr="00B82E15" w:rsidRDefault="005C3B7E" w:rsidP="00B82E15">
      <w:pPr>
        <w:widowControl w:val="0"/>
        <w:autoSpaceDE w:val="0"/>
        <w:autoSpaceDN w:val="0"/>
        <w:adjustRightInd w:val="0"/>
        <w:ind w:left="450" w:hanging="450"/>
        <w:jc w:val="both"/>
        <w:rPr>
          <w:rStyle w:val="AUBiosbd"/>
          <w:rFonts w:ascii="Times New Roman" w:hAnsi="Times New Roman" w:cs="Times New Roman"/>
          <w:b w:val="0"/>
          <w:sz w:val="20"/>
          <w:szCs w:val="20"/>
        </w:rPr>
      </w:pPr>
      <w:r w:rsidRPr="00B82E15">
        <w:rPr>
          <w:sz w:val="16"/>
          <w:szCs w:val="16"/>
        </w:rPr>
        <w:fldChar w:fldCharType="end"/>
      </w:r>
    </w:p>
    <w:p w14:paraId="411EBFA1" w14:textId="77777777" w:rsidR="000357B3" w:rsidRDefault="000357B3" w:rsidP="004A4CB8">
      <w:pPr>
        <w:rPr>
          <w:rStyle w:val="AUBiosbd"/>
          <w:sz w:val="16"/>
          <w:szCs w:val="16"/>
        </w:rPr>
      </w:pPr>
    </w:p>
    <w:p w14:paraId="53AA5622" w14:textId="2E6A1F35" w:rsidR="004A4CB8" w:rsidRPr="00460B55" w:rsidRDefault="00EF1537" w:rsidP="00B82E15">
      <w:pPr>
        <w:jc w:val="both"/>
        <w:rPr>
          <w:sz w:val="16"/>
          <w:szCs w:val="16"/>
        </w:rPr>
      </w:pPr>
      <w:r>
        <w:rPr>
          <w:rFonts w:ascii="Helvetica" w:hAnsi="Helvetica" w:cs="FormataOTFMd"/>
          <w:b/>
          <w:noProof/>
          <w:sz w:val="16"/>
          <w:szCs w:val="16"/>
        </w:rPr>
        <w:drawing>
          <wp:anchor distT="0" distB="0" distL="114300" distR="114300" simplePos="0" relativeHeight="251659264" behindDoc="0" locked="0" layoutInCell="1" allowOverlap="1" wp14:anchorId="2046D651" wp14:editId="44709800">
            <wp:simplePos x="0" y="0"/>
            <wp:positionH relativeFrom="column">
              <wp:posOffset>-475</wp:posOffset>
            </wp:positionH>
            <wp:positionV relativeFrom="paragraph">
              <wp:posOffset>1399</wp:posOffset>
            </wp:positionV>
            <wp:extent cx="844062" cy="1277827"/>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20421_101359.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44062" cy="1277827"/>
                    </a:xfrm>
                    <a:prstGeom prst="rect">
                      <a:avLst/>
                    </a:prstGeom>
                  </pic:spPr>
                </pic:pic>
              </a:graphicData>
            </a:graphic>
            <wp14:sizeRelH relativeFrom="page">
              <wp14:pctWidth>0</wp14:pctWidth>
            </wp14:sizeRelH>
            <wp14:sizeRelV relativeFrom="page">
              <wp14:pctHeight>0</wp14:pctHeight>
            </wp14:sizeRelV>
          </wp:anchor>
        </w:drawing>
      </w:r>
      <w:r>
        <w:rPr>
          <w:rStyle w:val="AUBiosbd"/>
          <w:sz w:val="16"/>
          <w:szCs w:val="16"/>
        </w:rPr>
        <w:t xml:space="preserve">FADIA RAKHMALIA, </w:t>
      </w:r>
      <w:proofErr w:type="spellStart"/>
      <w:r>
        <w:rPr>
          <w:rStyle w:val="AUBiosbd"/>
          <w:sz w:val="16"/>
          <w:szCs w:val="16"/>
        </w:rPr>
        <w:t>S.</w:t>
      </w:r>
      <w:proofErr w:type="gramStart"/>
      <w:r>
        <w:rPr>
          <w:rStyle w:val="AUBiosbd"/>
          <w:sz w:val="16"/>
          <w:szCs w:val="16"/>
        </w:rPr>
        <w:t>Tr.Kes</w:t>
      </w:r>
      <w:proofErr w:type="spellEnd"/>
      <w:proofErr w:type="gramEnd"/>
      <w:r w:rsidR="00460B55">
        <w:rPr>
          <w:rStyle w:val="AUBiosbd"/>
          <w:sz w:val="16"/>
          <w:szCs w:val="16"/>
        </w:rPr>
        <w:t xml:space="preserve"> </w:t>
      </w:r>
      <w:r w:rsidR="006E5822">
        <w:rPr>
          <w:sz w:val="16"/>
          <w:szCs w:val="16"/>
        </w:rPr>
        <w:t>born in Surabaya in 1999. She obtained her</w:t>
      </w:r>
      <w:r w:rsidR="004A4CB8" w:rsidRPr="00460B55">
        <w:rPr>
          <w:sz w:val="16"/>
          <w:szCs w:val="16"/>
        </w:rPr>
        <w:t xml:space="preserve"> </w:t>
      </w:r>
      <w:proofErr w:type="spellStart"/>
      <w:r w:rsidR="004A4CB8" w:rsidRPr="00460B55">
        <w:rPr>
          <w:sz w:val="16"/>
          <w:szCs w:val="16"/>
        </w:rPr>
        <w:t>S.</w:t>
      </w:r>
      <w:proofErr w:type="gramStart"/>
      <w:r w:rsidR="004A4CB8" w:rsidRPr="00460B55">
        <w:rPr>
          <w:sz w:val="16"/>
          <w:szCs w:val="16"/>
        </w:rPr>
        <w:t>Tr.Kes</w:t>
      </w:r>
      <w:proofErr w:type="spellEnd"/>
      <w:proofErr w:type="gramEnd"/>
      <w:r w:rsidR="004A4CB8" w:rsidRPr="00460B55">
        <w:rPr>
          <w:sz w:val="16"/>
          <w:szCs w:val="16"/>
        </w:rPr>
        <w:t xml:space="preserve"> degree in medical technology laboratory science from the Health Polytechnic of the Ministry of Health Surabaya in 2022.</w:t>
      </w:r>
    </w:p>
    <w:p w14:paraId="48B73D9A" w14:textId="2E841417" w:rsidR="004A4CB8" w:rsidRDefault="004A4CB8" w:rsidP="00B82E15">
      <w:pPr>
        <w:jc w:val="both"/>
        <w:rPr>
          <w:sz w:val="16"/>
          <w:szCs w:val="16"/>
        </w:rPr>
      </w:pPr>
      <w:r w:rsidRPr="00460B55">
        <w:rPr>
          <w:sz w:val="16"/>
          <w:szCs w:val="16"/>
        </w:rPr>
        <w:t xml:space="preserve">Fadia </w:t>
      </w:r>
      <w:proofErr w:type="spellStart"/>
      <w:r w:rsidRPr="00460B55">
        <w:rPr>
          <w:sz w:val="16"/>
          <w:szCs w:val="16"/>
        </w:rPr>
        <w:t>Rakhmalia</w:t>
      </w:r>
      <w:proofErr w:type="spellEnd"/>
      <w:r w:rsidRPr="00460B55">
        <w:rPr>
          <w:sz w:val="16"/>
          <w:szCs w:val="16"/>
        </w:rPr>
        <w:t xml:space="preserve"> was a moderator at </w:t>
      </w:r>
      <w:proofErr w:type="gramStart"/>
      <w:r w:rsidRPr="00460B55">
        <w:rPr>
          <w:sz w:val="16"/>
          <w:szCs w:val="16"/>
        </w:rPr>
        <w:t>The</w:t>
      </w:r>
      <w:proofErr w:type="gramEnd"/>
      <w:r w:rsidRPr="00460B55">
        <w:rPr>
          <w:sz w:val="16"/>
          <w:szCs w:val="16"/>
        </w:rPr>
        <w:t xml:space="preserve"> 1st International Conference on Medical Laboratory Technology (</w:t>
      </w:r>
      <w:proofErr w:type="spellStart"/>
      <w:r w:rsidRPr="00460B55">
        <w:rPr>
          <w:sz w:val="16"/>
          <w:szCs w:val="16"/>
        </w:rPr>
        <w:t>ICoMLT</w:t>
      </w:r>
      <w:proofErr w:type="spellEnd"/>
      <w:r w:rsidRPr="00460B55">
        <w:rPr>
          <w:sz w:val="16"/>
          <w:szCs w:val="16"/>
        </w:rPr>
        <w:t>) 2021.</w:t>
      </w:r>
    </w:p>
    <w:p w14:paraId="1C0372E6" w14:textId="4B5BB267" w:rsidR="00B82E15" w:rsidRDefault="00B82E15" w:rsidP="004A4CB8">
      <w:pPr>
        <w:rPr>
          <w:sz w:val="16"/>
          <w:szCs w:val="16"/>
        </w:rPr>
      </w:pPr>
    </w:p>
    <w:p w14:paraId="17D7F2E3" w14:textId="528D9D4B" w:rsidR="00B82E15" w:rsidRDefault="00B82E15" w:rsidP="004A4CB8">
      <w:pPr>
        <w:rPr>
          <w:sz w:val="16"/>
          <w:szCs w:val="16"/>
        </w:rPr>
      </w:pPr>
    </w:p>
    <w:p w14:paraId="1DD8343E" w14:textId="0A58FAE1" w:rsidR="00B82E15" w:rsidRDefault="00B82E15" w:rsidP="004A4CB8">
      <w:pPr>
        <w:rPr>
          <w:sz w:val="16"/>
          <w:szCs w:val="16"/>
        </w:rPr>
      </w:pPr>
    </w:p>
    <w:p w14:paraId="129D40BD" w14:textId="35C95293" w:rsidR="00B82E15" w:rsidRDefault="00B82E15" w:rsidP="004A4CB8">
      <w:pPr>
        <w:rPr>
          <w:sz w:val="16"/>
          <w:szCs w:val="16"/>
        </w:rPr>
      </w:pPr>
    </w:p>
    <w:p w14:paraId="0771A8EC" w14:textId="77777777" w:rsidR="00B82E15" w:rsidRPr="00460B55" w:rsidRDefault="00B82E15" w:rsidP="004A4CB8">
      <w:pPr>
        <w:rPr>
          <w:sz w:val="16"/>
          <w:szCs w:val="16"/>
        </w:rPr>
      </w:pPr>
    </w:p>
    <w:p w14:paraId="38C32253" w14:textId="77777777" w:rsidR="00CB1F92" w:rsidRPr="00842CBB" w:rsidRDefault="00CB1F92" w:rsidP="00146F1B">
      <w:pPr>
        <w:pStyle w:val="FigureCaption"/>
      </w:pPr>
    </w:p>
    <w:p w14:paraId="31089AC7" w14:textId="75E26E84" w:rsidR="000137F7" w:rsidRPr="000137F7" w:rsidRDefault="004A4CB8" w:rsidP="00B82E15">
      <w:pPr>
        <w:jc w:val="both"/>
        <w:rPr>
          <w:sz w:val="16"/>
          <w:szCs w:val="16"/>
        </w:rPr>
      </w:pPr>
      <w:r>
        <w:rPr>
          <w:noProof/>
        </w:rPr>
        <w:drawing>
          <wp:anchor distT="0" distB="0" distL="114300" distR="114300" simplePos="0" relativeHeight="251658240" behindDoc="0" locked="0" layoutInCell="1" allowOverlap="1" wp14:anchorId="702AD85F" wp14:editId="1C4163C3">
            <wp:simplePos x="0" y="0"/>
            <wp:positionH relativeFrom="column">
              <wp:posOffset>-475</wp:posOffset>
            </wp:positionH>
            <wp:positionV relativeFrom="paragraph">
              <wp:posOffset>458</wp:posOffset>
            </wp:positionV>
            <wp:extent cx="914400" cy="1219263"/>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826-WA0006.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914400" cy="1219263"/>
                    </a:xfrm>
                    <a:prstGeom prst="rect">
                      <a:avLst/>
                    </a:prstGeom>
                  </pic:spPr>
                </pic:pic>
              </a:graphicData>
            </a:graphic>
            <wp14:sizeRelH relativeFrom="page">
              <wp14:pctWidth>0</wp14:pctWidth>
            </wp14:sizeRelH>
            <wp14:sizeRelV relativeFrom="page">
              <wp14:pctHeight>0</wp14:pctHeight>
            </wp14:sizeRelV>
          </wp:anchor>
        </w:drawing>
      </w:r>
      <w:r w:rsidRPr="00460B55">
        <w:rPr>
          <w:rFonts w:ascii="Helvetica" w:hAnsi="Helvetica" w:cs="Helvetica"/>
          <w:b/>
          <w:sz w:val="16"/>
          <w:szCs w:val="16"/>
        </w:rPr>
        <w:t>Dr.</w:t>
      </w:r>
      <w:r w:rsidR="00460B55" w:rsidRPr="00460B55">
        <w:rPr>
          <w:rFonts w:ascii="Helvetica" w:hAnsi="Helvetica" w:cs="Helvetica"/>
          <w:b/>
          <w:sz w:val="16"/>
          <w:szCs w:val="16"/>
        </w:rPr>
        <w:t xml:space="preserve"> </w:t>
      </w:r>
      <w:r w:rsidR="000F0823" w:rsidRPr="00460B55">
        <w:rPr>
          <w:rFonts w:ascii="Helvetica" w:hAnsi="Helvetica" w:cs="Helvetica"/>
          <w:b/>
          <w:sz w:val="16"/>
          <w:szCs w:val="16"/>
        </w:rPr>
        <w:t xml:space="preserve">ANIK HANDAYATI, Dra., </w:t>
      </w:r>
      <w:proofErr w:type="spellStart"/>
      <w:proofErr w:type="gramStart"/>
      <w:r w:rsidR="000F0823" w:rsidRPr="00460B55">
        <w:rPr>
          <w:rFonts w:ascii="Helvetica" w:hAnsi="Helvetica" w:cs="Helvetica"/>
          <w:b/>
          <w:sz w:val="16"/>
          <w:szCs w:val="16"/>
        </w:rPr>
        <w:t>M.Kes</w:t>
      </w:r>
      <w:proofErr w:type="spellEnd"/>
      <w:proofErr w:type="gramEnd"/>
      <w:r w:rsidR="000137F7">
        <w:rPr>
          <w:sz w:val="20"/>
          <w:szCs w:val="20"/>
        </w:rPr>
        <w:t xml:space="preserve"> </w:t>
      </w:r>
      <w:r w:rsidR="006E5822">
        <w:rPr>
          <w:sz w:val="16"/>
          <w:szCs w:val="16"/>
        </w:rPr>
        <w:t xml:space="preserve">born in </w:t>
      </w:r>
      <w:proofErr w:type="spellStart"/>
      <w:r w:rsidR="006E5822">
        <w:rPr>
          <w:sz w:val="16"/>
          <w:szCs w:val="16"/>
        </w:rPr>
        <w:t>Magetan</w:t>
      </w:r>
      <w:proofErr w:type="spellEnd"/>
      <w:r w:rsidR="006E5822">
        <w:rPr>
          <w:sz w:val="16"/>
          <w:szCs w:val="16"/>
        </w:rPr>
        <w:t>, 1964. She obtained her</w:t>
      </w:r>
      <w:r w:rsidR="000137F7" w:rsidRPr="000137F7">
        <w:rPr>
          <w:sz w:val="16"/>
          <w:szCs w:val="16"/>
        </w:rPr>
        <w:t xml:space="preserve"> </w:t>
      </w:r>
      <w:proofErr w:type="spellStart"/>
      <w:proofErr w:type="gramStart"/>
      <w:r w:rsidR="000137F7" w:rsidRPr="000137F7">
        <w:rPr>
          <w:sz w:val="16"/>
          <w:szCs w:val="16"/>
        </w:rPr>
        <w:t>S.Si</w:t>
      </w:r>
      <w:proofErr w:type="spellEnd"/>
      <w:proofErr w:type="gramEnd"/>
      <w:r w:rsidR="000137F7" w:rsidRPr="000137F7">
        <w:rPr>
          <w:sz w:val="16"/>
          <w:szCs w:val="16"/>
        </w:rPr>
        <w:t xml:space="preserve"> degree in Chemistry from Airlangga University, Surabaya in 1989. In 2003 </w:t>
      </w:r>
      <w:r w:rsidR="006E5822">
        <w:rPr>
          <w:sz w:val="16"/>
          <w:szCs w:val="16"/>
        </w:rPr>
        <w:t>she received her</w:t>
      </w:r>
      <w:r w:rsidR="000137F7" w:rsidRPr="000137F7">
        <w:rPr>
          <w:sz w:val="16"/>
          <w:szCs w:val="16"/>
        </w:rPr>
        <w:t xml:space="preserve"> </w:t>
      </w:r>
      <w:proofErr w:type="spellStart"/>
      <w:proofErr w:type="gramStart"/>
      <w:r w:rsidR="000137F7" w:rsidRPr="000137F7">
        <w:rPr>
          <w:sz w:val="16"/>
          <w:szCs w:val="16"/>
        </w:rPr>
        <w:t>M.Kes</w:t>
      </w:r>
      <w:proofErr w:type="spellEnd"/>
      <w:proofErr w:type="gramEnd"/>
      <w:r w:rsidR="000137F7" w:rsidRPr="000137F7">
        <w:rPr>
          <w:sz w:val="16"/>
          <w:szCs w:val="16"/>
        </w:rPr>
        <w:t xml:space="preserve"> degree in laboratory medical science which </w:t>
      </w:r>
      <w:r w:rsidR="006E5822">
        <w:rPr>
          <w:sz w:val="16"/>
          <w:szCs w:val="16"/>
        </w:rPr>
        <w:t>s</w:t>
      </w:r>
      <w:r w:rsidR="000137F7" w:rsidRPr="000137F7">
        <w:rPr>
          <w:sz w:val="16"/>
          <w:szCs w:val="16"/>
        </w:rPr>
        <w:t>he obtained f</w:t>
      </w:r>
      <w:r w:rsidR="006E5822">
        <w:rPr>
          <w:sz w:val="16"/>
          <w:szCs w:val="16"/>
        </w:rPr>
        <w:t>rom Airlangga University and her</w:t>
      </w:r>
      <w:r w:rsidR="000137F7" w:rsidRPr="000137F7">
        <w:rPr>
          <w:sz w:val="16"/>
          <w:szCs w:val="16"/>
        </w:rPr>
        <w:t xml:space="preserve"> doctorate degree was obtained in 2018 in the field of Medical Science from Airlangga University.</w:t>
      </w:r>
    </w:p>
    <w:p w14:paraId="322688DB" w14:textId="0AB6AAC1" w:rsidR="000137F7" w:rsidRPr="000137F7" w:rsidRDefault="000137F7" w:rsidP="00B82E15">
      <w:pPr>
        <w:pStyle w:val="TableParagraph"/>
        <w:jc w:val="both"/>
        <w:rPr>
          <w:sz w:val="16"/>
          <w:szCs w:val="16"/>
          <w:lang w:val="id-ID"/>
        </w:rPr>
      </w:pPr>
      <w:r w:rsidRPr="000137F7">
        <w:rPr>
          <w:sz w:val="16"/>
          <w:szCs w:val="16"/>
          <w:lang w:val="id-ID"/>
        </w:rPr>
        <w:t xml:space="preserve">Since 2000 – </w:t>
      </w:r>
      <w:proofErr w:type="spellStart"/>
      <w:r w:rsidRPr="000137F7">
        <w:rPr>
          <w:sz w:val="16"/>
          <w:szCs w:val="16"/>
          <w:lang w:val="id-ID"/>
        </w:rPr>
        <w:t>now</w:t>
      </w:r>
      <w:proofErr w:type="spellEnd"/>
      <w:r w:rsidRPr="000137F7">
        <w:rPr>
          <w:sz w:val="16"/>
          <w:szCs w:val="16"/>
          <w:lang w:val="id-ID"/>
        </w:rPr>
        <w:t xml:space="preserve"> </w:t>
      </w:r>
      <w:proofErr w:type="spellStart"/>
      <w:r w:rsidRPr="000137F7">
        <w:rPr>
          <w:sz w:val="16"/>
          <w:szCs w:val="16"/>
          <w:lang w:val="id-ID"/>
        </w:rPr>
        <w:t>working</w:t>
      </w:r>
      <w:proofErr w:type="spellEnd"/>
      <w:r w:rsidRPr="000137F7">
        <w:rPr>
          <w:sz w:val="16"/>
          <w:szCs w:val="16"/>
          <w:lang w:val="id-ID"/>
        </w:rPr>
        <w:t xml:space="preserve"> as a </w:t>
      </w:r>
      <w:proofErr w:type="spellStart"/>
      <w:r w:rsidRPr="000137F7">
        <w:rPr>
          <w:sz w:val="16"/>
          <w:szCs w:val="16"/>
          <w:lang w:val="id-ID"/>
        </w:rPr>
        <w:t>lecturer</w:t>
      </w:r>
      <w:proofErr w:type="spellEnd"/>
      <w:r w:rsidRPr="000137F7">
        <w:rPr>
          <w:sz w:val="16"/>
          <w:szCs w:val="16"/>
          <w:lang w:val="id-ID"/>
        </w:rPr>
        <w:t xml:space="preserve"> </w:t>
      </w:r>
      <w:proofErr w:type="spellStart"/>
      <w:r w:rsidRPr="000137F7">
        <w:rPr>
          <w:sz w:val="16"/>
          <w:szCs w:val="16"/>
          <w:lang w:val="id-ID"/>
        </w:rPr>
        <w:t>at</w:t>
      </w:r>
      <w:proofErr w:type="spellEnd"/>
      <w:r w:rsidRPr="000137F7">
        <w:rPr>
          <w:sz w:val="16"/>
          <w:szCs w:val="16"/>
          <w:lang w:val="id-ID"/>
        </w:rPr>
        <w:t xml:space="preserve"> </w:t>
      </w:r>
      <w:proofErr w:type="spellStart"/>
      <w:r w:rsidRPr="000137F7">
        <w:rPr>
          <w:sz w:val="16"/>
          <w:szCs w:val="16"/>
          <w:lang w:val="id-ID"/>
        </w:rPr>
        <w:t>the</w:t>
      </w:r>
      <w:proofErr w:type="spellEnd"/>
      <w:r w:rsidRPr="000137F7">
        <w:rPr>
          <w:sz w:val="16"/>
          <w:szCs w:val="16"/>
          <w:lang w:val="id-ID"/>
        </w:rPr>
        <w:t xml:space="preserve"> </w:t>
      </w:r>
      <w:proofErr w:type="spellStart"/>
      <w:r w:rsidRPr="000137F7">
        <w:rPr>
          <w:sz w:val="16"/>
          <w:szCs w:val="16"/>
          <w:lang w:val="id-ID"/>
        </w:rPr>
        <w:t>Health</w:t>
      </w:r>
      <w:proofErr w:type="spellEnd"/>
      <w:r w:rsidRPr="000137F7">
        <w:rPr>
          <w:sz w:val="16"/>
          <w:szCs w:val="16"/>
          <w:lang w:val="id-ID"/>
        </w:rPr>
        <w:t xml:space="preserve"> </w:t>
      </w:r>
      <w:proofErr w:type="spellStart"/>
      <w:r w:rsidRPr="000137F7">
        <w:rPr>
          <w:sz w:val="16"/>
          <w:szCs w:val="16"/>
          <w:lang w:val="id-ID"/>
        </w:rPr>
        <w:t>Polytechnic</w:t>
      </w:r>
      <w:proofErr w:type="spellEnd"/>
      <w:r w:rsidRPr="000137F7">
        <w:rPr>
          <w:sz w:val="16"/>
          <w:szCs w:val="16"/>
          <w:lang w:val="id-ID"/>
        </w:rPr>
        <w:t xml:space="preserve"> </w:t>
      </w:r>
      <w:proofErr w:type="spellStart"/>
      <w:r w:rsidRPr="000137F7">
        <w:rPr>
          <w:sz w:val="16"/>
          <w:szCs w:val="16"/>
          <w:lang w:val="id-ID"/>
        </w:rPr>
        <w:t>of</w:t>
      </w:r>
      <w:proofErr w:type="spellEnd"/>
      <w:r w:rsidRPr="000137F7">
        <w:rPr>
          <w:sz w:val="16"/>
          <w:szCs w:val="16"/>
          <w:lang w:val="id-ID"/>
        </w:rPr>
        <w:t xml:space="preserve"> </w:t>
      </w:r>
      <w:proofErr w:type="spellStart"/>
      <w:r w:rsidRPr="000137F7">
        <w:rPr>
          <w:sz w:val="16"/>
          <w:szCs w:val="16"/>
          <w:lang w:val="id-ID"/>
        </w:rPr>
        <w:t>the</w:t>
      </w:r>
      <w:proofErr w:type="spellEnd"/>
      <w:r w:rsidRPr="000137F7">
        <w:rPr>
          <w:sz w:val="16"/>
          <w:szCs w:val="16"/>
          <w:lang w:val="id-ID"/>
        </w:rPr>
        <w:t xml:space="preserve"> </w:t>
      </w:r>
      <w:proofErr w:type="spellStart"/>
      <w:r w:rsidRPr="000137F7">
        <w:rPr>
          <w:sz w:val="16"/>
          <w:szCs w:val="16"/>
          <w:lang w:val="id-ID"/>
        </w:rPr>
        <w:t>Ministry</w:t>
      </w:r>
      <w:proofErr w:type="spellEnd"/>
      <w:r w:rsidRPr="000137F7">
        <w:rPr>
          <w:sz w:val="16"/>
          <w:szCs w:val="16"/>
          <w:lang w:val="id-ID"/>
        </w:rPr>
        <w:t xml:space="preserve"> </w:t>
      </w:r>
      <w:proofErr w:type="spellStart"/>
      <w:r w:rsidRPr="000137F7">
        <w:rPr>
          <w:sz w:val="16"/>
          <w:szCs w:val="16"/>
          <w:lang w:val="id-ID"/>
        </w:rPr>
        <w:t>of</w:t>
      </w:r>
      <w:proofErr w:type="spellEnd"/>
      <w:r w:rsidRPr="000137F7">
        <w:rPr>
          <w:sz w:val="16"/>
          <w:szCs w:val="16"/>
          <w:lang w:val="id-ID"/>
        </w:rPr>
        <w:t xml:space="preserve"> </w:t>
      </w:r>
      <w:proofErr w:type="spellStart"/>
      <w:r w:rsidRPr="000137F7">
        <w:rPr>
          <w:sz w:val="16"/>
          <w:szCs w:val="16"/>
          <w:lang w:val="id-ID"/>
        </w:rPr>
        <w:t>Health</w:t>
      </w:r>
      <w:proofErr w:type="spellEnd"/>
      <w:r w:rsidRPr="000137F7">
        <w:rPr>
          <w:sz w:val="16"/>
          <w:szCs w:val="16"/>
          <w:lang w:val="id-ID"/>
        </w:rPr>
        <w:t xml:space="preserve"> Surabaya, </w:t>
      </w:r>
      <w:proofErr w:type="spellStart"/>
      <w:r w:rsidRPr="000137F7">
        <w:rPr>
          <w:sz w:val="16"/>
          <w:szCs w:val="16"/>
          <w:lang w:val="id-ID"/>
        </w:rPr>
        <w:t>majoring</w:t>
      </w:r>
      <w:proofErr w:type="spellEnd"/>
      <w:r w:rsidRPr="000137F7">
        <w:rPr>
          <w:sz w:val="16"/>
          <w:szCs w:val="16"/>
          <w:lang w:val="id-ID"/>
        </w:rPr>
        <w:t xml:space="preserve"> in </w:t>
      </w:r>
      <w:proofErr w:type="spellStart"/>
      <w:r w:rsidRPr="000137F7">
        <w:rPr>
          <w:sz w:val="16"/>
          <w:szCs w:val="16"/>
          <w:lang w:val="id-ID"/>
        </w:rPr>
        <w:t>medical</w:t>
      </w:r>
      <w:proofErr w:type="spellEnd"/>
      <w:r w:rsidRPr="000137F7">
        <w:rPr>
          <w:sz w:val="16"/>
          <w:szCs w:val="16"/>
          <w:lang w:val="id-ID"/>
        </w:rPr>
        <w:t xml:space="preserve"> </w:t>
      </w:r>
      <w:proofErr w:type="spellStart"/>
      <w:r w:rsidRPr="000137F7">
        <w:rPr>
          <w:sz w:val="16"/>
          <w:szCs w:val="16"/>
          <w:lang w:val="id-ID"/>
        </w:rPr>
        <w:t>laboratory</w:t>
      </w:r>
      <w:proofErr w:type="spellEnd"/>
      <w:r w:rsidRPr="000137F7">
        <w:rPr>
          <w:sz w:val="16"/>
          <w:szCs w:val="16"/>
          <w:lang w:val="id-ID"/>
        </w:rPr>
        <w:t xml:space="preserve"> </w:t>
      </w:r>
      <w:proofErr w:type="spellStart"/>
      <w:r w:rsidRPr="000137F7">
        <w:rPr>
          <w:sz w:val="16"/>
          <w:szCs w:val="16"/>
          <w:lang w:val="id-ID"/>
        </w:rPr>
        <w:t>technology</w:t>
      </w:r>
      <w:proofErr w:type="spellEnd"/>
      <w:r w:rsidRPr="000137F7">
        <w:rPr>
          <w:sz w:val="16"/>
          <w:szCs w:val="16"/>
          <w:lang w:val="id-ID"/>
        </w:rPr>
        <w:t xml:space="preserve">. </w:t>
      </w:r>
      <w:proofErr w:type="spellStart"/>
      <w:r w:rsidRPr="000137F7">
        <w:rPr>
          <w:sz w:val="16"/>
          <w:szCs w:val="16"/>
          <w:lang w:val="id-ID"/>
        </w:rPr>
        <w:t>Became</w:t>
      </w:r>
      <w:proofErr w:type="spellEnd"/>
      <w:r w:rsidRPr="000137F7">
        <w:rPr>
          <w:sz w:val="16"/>
          <w:szCs w:val="16"/>
          <w:lang w:val="id-ID"/>
        </w:rPr>
        <w:t xml:space="preserve"> </w:t>
      </w:r>
      <w:proofErr w:type="spellStart"/>
      <w:r w:rsidRPr="000137F7">
        <w:rPr>
          <w:sz w:val="16"/>
          <w:szCs w:val="16"/>
          <w:lang w:val="id-ID"/>
        </w:rPr>
        <w:t>an</w:t>
      </w:r>
      <w:proofErr w:type="spellEnd"/>
      <w:r w:rsidRPr="000137F7">
        <w:rPr>
          <w:sz w:val="16"/>
          <w:szCs w:val="16"/>
          <w:lang w:val="id-ID"/>
        </w:rPr>
        <w:t xml:space="preserve"> </w:t>
      </w:r>
      <w:proofErr w:type="spellStart"/>
      <w:r w:rsidRPr="000137F7">
        <w:rPr>
          <w:sz w:val="16"/>
          <w:szCs w:val="16"/>
          <w:lang w:val="id-ID"/>
        </w:rPr>
        <w:t>analyst</w:t>
      </w:r>
      <w:proofErr w:type="spellEnd"/>
      <w:r w:rsidRPr="000137F7">
        <w:rPr>
          <w:sz w:val="16"/>
          <w:szCs w:val="16"/>
          <w:lang w:val="id-ID"/>
        </w:rPr>
        <w:t xml:space="preserve"> </w:t>
      </w:r>
      <w:proofErr w:type="spellStart"/>
      <w:r w:rsidRPr="000137F7">
        <w:rPr>
          <w:sz w:val="16"/>
          <w:szCs w:val="16"/>
          <w:lang w:val="id-ID"/>
        </w:rPr>
        <w:t>at</w:t>
      </w:r>
      <w:proofErr w:type="spellEnd"/>
      <w:r w:rsidRPr="000137F7">
        <w:rPr>
          <w:sz w:val="16"/>
          <w:szCs w:val="16"/>
          <w:lang w:val="id-ID"/>
        </w:rPr>
        <w:t xml:space="preserve"> Dr. Hospital. </w:t>
      </w:r>
      <w:proofErr w:type="spellStart"/>
      <w:r w:rsidRPr="000137F7">
        <w:rPr>
          <w:sz w:val="16"/>
          <w:szCs w:val="16"/>
          <w:lang w:val="id-ID"/>
        </w:rPr>
        <w:t>Soetomo</w:t>
      </w:r>
      <w:proofErr w:type="spellEnd"/>
      <w:r w:rsidRPr="000137F7">
        <w:rPr>
          <w:sz w:val="16"/>
          <w:szCs w:val="16"/>
          <w:lang w:val="id-ID"/>
        </w:rPr>
        <w:t xml:space="preserve"> Surabaya in 1982 – 1998. In </w:t>
      </w:r>
      <w:proofErr w:type="spellStart"/>
      <w:r w:rsidRPr="000137F7">
        <w:rPr>
          <w:sz w:val="16"/>
          <w:szCs w:val="16"/>
          <w:lang w:val="id-ID"/>
        </w:rPr>
        <w:t>the</w:t>
      </w:r>
      <w:proofErr w:type="spellEnd"/>
      <w:r w:rsidRPr="000137F7">
        <w:rPr>
          <w:sz w:val="16"/>
          <w:szCs w:val="16"/>
          <w:lang w:val="id-ID"/>
        </w:rPr>
        <w:t xml:space="preserve"> </w:t>
      </w:r>
      <w:proofErr w:type="spellStart"/>
      <w:r w:rsidRPr="000137F7">
        <w:rPr>
          <w:sz w:val="16"/>
          <w:szCs w:val="16"/>
          <w:lang w:val="id-ID"/>
        </w:rPr>
        <w:t>last</w:t>
      </w:r>
      <w:proofErr w:type="spellEnd"/>
      <w:r w:rsidRPr="000137F7">
        <w:rPr>
          <w:sz w:val="16"/>
          <w:szCs w:val="16"/>
          <w:lang w:val="id-ID"/>
        </w:rPr>
        <w:t xml:space="preserve"> 5 </w:t>
      </w:r>
      <w:proofErr w:type="spellStart"/>
      <w:r w:rsidRPr="000137F7">
        <w:rPr>
          <w:sz w:val="16"/>
          <w:szCs w:val="16"/>
          <w:lang w:val="id-ID"/>
        </w:rPr>
        <w:t>years</w:t>
      </w:r>
      <w:proofErr w:type="spellEnd"/>
      <w:r w:rsidRPr="000137F7">
        <w:rPr>
          <w:sz w:val="16"/>
          <w:szCs w:val="16"/>
          <w:lang w:val="id-ID"/>
        </w:rPr>
        <w:t xml:space="preserve">, </w:t>
      </w:r>
      <w:r w:rsidR="006E5822">
        <w:rPr>
          <w:sz w:val="16"/>
          <w:szCs w:val="16"/>
        </w:rPr>
        <w:t>s</w:t>
      </w:r>
      <w:r w:rsidRPr="000137F7">
        <w:rPr>
          <w:sz w:val="16"/>
          <w:szCs w:val="16"/>
          <w:lang w:val="id-ID"/>
        </w:rPr>
        <w:t xml:space="preserve">he has </w:t>
      </w:r>
      <w:proofErr w:type="spellStart"/>
      <w:r w:rsidRPr="000137F7">
        <w:rPr>
          <w:sz w:val="16"/>
          <w:szCs w:val="16"/>
          <w:lang w:val="id-ID"/>
        </w:rPr>
        <w:t>published</w:t>
      </w:r>
      <w:proofErr w:type="spellEnd"/>
      <w:r w:rsidRPr="000137F7">
        <w:rPr>
          <w:sz w:val="16"/>
          <w:szCs w:val="16"/>
          <w:lang w:val="id-ID"/>
        </w:rPr>
        <w:t xml:space="preserve"> 8 </w:t>
      </w:r>
      <w:proofErr w:type="spellStart"/>
      <w:r w:rsidRPr="000137F7">
        <w:rPr>
          <w:sz w:val="16"/>
          <w:szCs w:val="16"/>
          <w:lang w:val="id-ID"/>
        </w:rPr>
        <w:t>research</w:t>
      </w:r>
      <w:proofErr w:type="spellEnd"/>
      <w:r w:rsidRPr="000137F7">
        <w:rPr>
          <w:sz w:val="16"/>
          <w:szCs w:val="16"/>
          <w:lang w:val="id-ID"/>
        </w:rPr>
        <w:t xml:space="preserve"> </w:t>
      </w:r>
      <w:proofErr w:type="spellStart"/>
      <w:r w:rsidRPr="000137F7">
        <w:rPr>
          <w:sz w:val="16"/>
          <w:szCs w:val="16"/>
          <w:lang w:val="id-ID"/>
        </w:rPr>
        <w:t>journals</w:t>
      </w:r>
      <w:proofErr w:type="spellEnd"/>
      <w:r w:rsidRPr="000137F7">
        <w:rPr>
          <w:sz w:val="16"/>
          <w:szCs w:val="16"/>
          <w:lang w:val="id-ID"/>
        </w:rPr>
        <w:t xml:space="preserve"> </w:t>
      </w:r>
      <w:proofErr w:type="spellStart"/>
      <w:r w:rsidRPr="000137F7">
        <w:rPr>
          <w:sz w:val="16"/>
          <w:szCs w:val="16"/>
          <w:lang w:val="id-ID"/>
        </w:rPr>
        <w:t>and</w:t>
      </w:r>
      <w:proofErr w:type="spellEnd"/>
      <w:r w:rsidRPr="000137F7">
        <w:rPr>
          <w:sz w:val="16"/>
          <w:szCs w:val="16"/>
          <w:lang w:val="id-ID"/>
        </w:rPr>
        <w:t xml:space="preserve"> 3 </w:t>
      </w:r>
      <w:proofErr w:type="spellStart"/>
      <w:r w:rsidRPr="000137F7">
        <w:rPr>
          <w:sz w:val="16"/>
          <w:szCs w:val="16"/>
          <w:lang w:val="id-ID"/>
        </w:rPr>
        <w:t>books</w:t>
      </w:r>
      <w:proofErr w:type="spellEnd"/>
      <w:r w:rsidRPr="000137F7">
        <w:rPr>
          <w:sz w:val="16"/>
          <w:szCs w:val="16"/>
          <w:lang w:val="id-ID"/>
        </w:rPr>
        <w:t xml:space="preserve">, </w:t>
      </w:r>
      <w:proofErr w:type="spellStart"/>
      <w:r w:rsidRPr="000137F7">
        <w:rPr>
          <w:sz w:val="16"/>
          <w:szCs w:val="16"/>
          <w:lang w:val="id-ID"/>
        </w:rPr>
        <w:t>two</w:t>
      </w:r>
      <w:proofErr w:type="spellEnd"/>
      <w:r w:rsidRPr="000137F7">
        <w:rPr>
          <w:sz w:val="16"/>
          <w:szCs w:val="16"/>
          <w:lang w:val="id-ID"/>
        </w:rPr>
        <w:t xml:space="preserve"> </w:t>
      </w:r>
      <w:proofErr w:type="spellStart"/>
      <w:r w:rsidRPr="000137F7">
        <w:rPr>
          <w:sz w:val="16"/>
          <w:szCs w:val="16"/>
          <w:lang w:val="id-ID"/>
        </w:rPr>
        <w:t>of</w:t>
      </w:r>
      <w:proofErr w:type="spellEnd"/>
      <w:r w:rsidRPr="000137F7">
        <w:rPr>
          <w:sz w:val="16"/>
          <w:szCs w:val="16"/>
          <w:lang w:val="id-ID"/>
        </w:rPr>
        <w:t xml:space="preserve"> </w:t>
      </w:r>
      <w:proofErr w:type="spellStart"/>
      <w:r w:rsidRPr="000137F7">
        <w:rPr>
          <w:sz w:val="16"/>
          <w:szCs w:val="16"/>
          <w:lang w:val="id-ID"/>
        </w:rPr>
        <w:t>which</w:t>
      </w:r>
      <w:proofErr w:type="spellEnd"/>
      <w:r w:rsidRPr="000137F7">
        <w:rPr>
          <w:sz w:val="16"/>
          <w:szCs w:val="16"/>
          <w:lang w:val="id-ID"/>
        </w:rPr>
        <w:t xml:space="preserve"> are Basic </w:t>
      </w:r>
      <w:proofErr w:type="spellStart"/>
      <w:r w:rsidRPr="000137F7">
        <w:rPr>
          <w:sz w:val="16"/>
          <w:szCs w:val="16"/>
          <w:lang w:val="id-ID"/>
        </w:rPr>
        <w:t>Laboratory</w:t>
      </w:r>
      <w:proofErr w:type="spellEnd"/>
      <w:r w:rsidRPr="000137F7">
        <w:rPr>
          <w:sz w:val="16"/>
          <w:szCs w:val="16"/>
          <w:lang w:val="id-ID"/>
        </w:rPr>
        <w:t xml:space="preserve"> </w:t>
      </w:r>
      <w:proofErr w:type="spellStart"/>
      <w:r w:rsidRPr="000137F7">
        <w:rPr>
          <w:sz w:val="16"/>
          <w:szCs w:val="16"/>
          <w:lang w:val="id-ID"/>
        </w:rPr>
        <w:t>Management</w:t>
      </w:r>
      <w:proofErr w:type="spellEnd"/>
      <w:r w:rsidRPr="000137F7">
        <w:rPr>
          <w:sz w:val="16"/>
          <w:szCs w:val="16"/>
          <w:lang w:val="id-ID"/>
        </w:rPr>
        <w:t xml:space="preserve"> </w:t>
      </w:r>
      <w:proofErr w:type="spellStart"/>
      <w:r w:rsidRPr="000137F7">
        <w:rPr>
          <w:sz w:val="16"/>
          <w:szCs w:val="16"/>
          <w:lang w:val="id-ID"/>
        </w:rPr>
        <w:t>and</w:t>
      </w:r>
      <w:proofErr w:type="spellEnd"/>
      <w:r w:rsidRPr="000137F7">
        <w:rPr>
          <w:sz w:val="16"/>
          <w:szCs w:val="16"/>
          <w:lang w:val="id-ID"/>
        </w:rPr>
        <w:t xml:space="preserve"> </w:t>
      </w:r>
      <w:proofErr w:type="spellStart"/>
      <w:r w:rsidRPr="000137F7">
        <w:rPr>
          <w:sz w:val="16"/>
          <w:szCs w:val="16"/>
          <w:lang w:val="id-ID"/>
        </w:rPr>
        <w:t>Environmental</w:t>
      </w:r>
      <w:proofErr w:type="spellEnd"/>
      <w:r w:rsidRPr="000137F7">
        <w:rPr>
          <w:sz w:val="16"/>
          <w:szCs w:val="16"/>
          <w:lang w:val="id-ID"/>
        </w:rPr>
        <w:t xml:space="preserve"> </w:t>
      </w:r>
      <w:proofErr w:type="spellStart"/>
      <w:r w:rsidRPr="000137F7">
        <w:rPr>
          <w:sz w:val="16"/>
          <w:szCs w:val="16"/>
          <w:lang w:val="id-ID"/>
        </w:rPr>
        <w:t>Health</w:t>
      </w:r>
      <w:proofErr w:type="spellEnd"/>
      <w:r w:rsidRPr="000137F7">
        <w:rPr>
          <w:sz w:val="16"/>
          <w:szCs w:val="16"/>
          <w:lang w:val="id-ID"/>
        </w:rPr>
        <w:t xml:space="preserve"> </w:t>
      </w:r>
      <w:proofErr w:type="spellStart"/>
      <w:r w:rsidRPr="000137F7">
        <w:rPr>
          <w:sz w:val="16"/>
          <w:szCs w:val="16"/>
          <w:lang w:val="id-ID"/>
        </w:rPr>
        <w:t>and</w:t>
      </w:r>
      <w:proofErr w:type="spellEnd"/>
      <w:r w:rsidRPr="000137F7">
        <w:rPr>
          <w:sz w:val="16"/>
          <w:szCs w:val="16"/>
          <w:lang w:val="id-ID"/>
        </w:rPr>
        <w:t xml:space="preserve"> </w:t>
      </w:r>
      <w:proofErr w:type="spellStart"/>
      <w:r w:rsidRPr="000137F7">
        <w:rPr>
          <w:sz w:val="16"/>
          <w:szCs w:val="16"/>
          <w:lang w:val="id-ID"/>
        </w:rPr>
        <w:t>Clinical</w:t>
      </w:r>
      <w:proofErr w:type="spellEnd"/>
      <w:r w:rsidRPr="000137F7">
        <w:rPr>
          <w:sz w:val="16"/>
          <w:szCs w:val="16"/>
          <w:lang w:val="id-ID"/>
        </w:rPr>
        <w:t xml:space="preserve"> </w:t>
      </w:r>
      <w:proofErr w:type="spellStart"/>
      <w:r w:rsidRPr="000137F7">
        <w:rPr>
          <w:sz w:val="16"/>
          <w:szCs w:val="16"/>
          <w:lang w:val="id-ID"/>
        </w:rPr>
        <w:t>Chemistry</w:t>
      </w:r>
      <w:proofErr w:type="spellEnd"/>
      <w:r w:rsidRPr="000137F7">
        <w:rPr>
          <w:sz w:val="16"/>
          <w:szCs w:val="16"/>
          <w:lang w:val="id-ID"/>
        </w:rPr>
        <w:t xml:space="preserve">: </w:t>
      </w:r>
      <w:proofErr w:type="spellStart"/>
      <w:r w:rsidRPr="000137F7">
        <w:rPr>
          <w:sz w:val="16"/>
          <w:szCs w:val="16"/>
          <w:lang w:val="id-ID"/>
        </w:rPr>
        <w:t>Medical</w:t>
      </w:r>
      <w:proofErr w:type="spellEnd"/>
      <w:r w:rsidRPr="000137F7">
        <w:rPr>
          <w:sz w:val="16"/>
          <w:szCs w:val="16"/>
          <w:lang w:val="id-ID"/>
        </w:rPr>
        <w:t xml:space="preserve"> </w:t>
      </w:r>
      <w:proofErr w:type="spellStart"/>
      <w:r w:rsidRPr="000137F7">
        <w:rPr>
          <w:sz w:val="16"/>
          <w:szCs w:val="16"/>
          <w:lang w:val="id-ID"/>
        </w:rPr>
        <w:t>Laboratory</w:t>
      </w:r>
      <w:proofErr w:type="spellEnd"/>
      <w:r w:rsidRPr="000137F7">
        <w:rPr>
          <w:sz w:val="16"/>
          <w:szCs w:val="16"/>
          <w:lang w:val="id-ID"/>
        </w:rPr>
        <w:t xml:space="preserve"> Technology </w:t>
      </w:r>
      <w:proofErr w:type="spellStart"/>
      <w:r w:rsidRPr="000137F7">
        <w:rPr>
          <w:sz w:val="16"/>
          <w:szCs w:val="16"/>
          <w:lang w:val="id-ID"/>
        </w:rPr>
        <w:t>Expertise</w:t>
      </w:r>
      <w:proofErr w:type="spellEnd"/>
      <w:r w:rsidRPr="000137F7">
        <w:rPr>
          <w:sz w:val="16"/>
          <w:szCs w:val="16"/>
          <w:lang w:val="id-ID"/>
        </w:rPr>
        <w:t xml:space="preserve"> Program, as </w:t>
      </w:r>
      <w:proofErr w:type="spellStart"/>
      <w:r w:rsidRPr="000137F7">
        <w:rPr>
          <w:sz w:val="16"/>
          <w:szCs w:val="16"/>
          <w:lang w:val="id-ID"/>
        </w:rPr>
        <w:t>well</w:t>
      </w:r>
      <w:proofErr w:type="spellEnd"/>
      <w:r w:rsidRPr="000137F7">
        <w:rPr>
          <w:sz w:val="16"/>
          <w:szCs w:val="16"/>
          <w:lang w:val="id-ID"/>
        </w:rPr>
        <w:t xml:space="preserve"> as </w:t>
      </w:r>
      <w:proofErr w:type="spellStart"/>
      <w:r w:rsidRPr="000137F7">
        <w:rPr>
          <w:sz w:val="16"/>
          <w:szCs w:val="16"/>
          <w:lang w:val="id-ID"/>
        </w:rPr>
        <w:t>one</w:t>
      </w:r>
      <w:proofErr w:type="spellEnd"/>
      <w:r w:rsidRPr="000137F7">
        <w:rPr>
          <w:sz w:val="16"/>
          <w:szCs w:val="16"/>
          <w:lang w:val="id-ID"/>
        </w:rPr>
        <w:t xml:space="preserve"> </w:t>
      </w:r>
      <w:proofErr w:type="spellStart"/>
      <w:r w:rsidRPr="000137F7">
        <w:rPr>
          <w:sz w:val="16"/>
          <w:szCs w:val="16"/>
          <w:lang w:val="id-ID"/>
        </w:rPr>
        <w:t>of</w:t>
      </w:r>
      <w:proofErr w:type="spellEnd"/>
      <w:r w:rsidRPr="000137F7">
        <w:rPr>
          <w:sz w:val="16"/>
          <w:szCs w:val="16"/>
          <w:lang w:val="id-ID"/>
        </w:rPr>
        <w:t xml:space="preserve"> </w:t>
      </w:r>
      <w:proofErr w:type="spellStart"/>
      <w:r w:rsidRPr="000137F7">
        <w:rPr>
          <w:sz w:val="16"/>
          <w:szCs w:val="16"/>
          <w:lang w:val="id-ID"/>
        </w:rPr>
        <w:t>eight</w:t>
      </w:r>
      <w:proofErr w:type="spellEnd"/>
      <w:r w:rsidRPr="000137F7">
        <w:rPr>
          <w:sz w:val="16"/>
          <w:szCs w:val="16"/>
          <w:lang w:val="id-ID"/>
        </w:rPr>
        <w:t xml:space="preserve"> </w:t>
      </w:r>
      <w:proofErr w:type="spellStart"/>
      <w:r w:rsidRPr="000137F7">
        <w:rPr>
          <w:sz w:val="16"/>
          <w:szCs w:val="16"/>
          <w:lang w:val="id-ID"/>
        </w:rPr>
        <w:t>published</w:t>
      </w:r>
      <w:proofErr w:type="spellEnd"/>
      <w:r w:rsidRPr="000137F7">
        <w:rPr>
          <w:sz w:val="16"/>
          <w:szCs w:val="16"/>
          <w:lang w:val="id-ID"/>
        </w:rPr>
        <w:t xml:space="preserve"> </w:t>
      </w:r>
      <w:proofErr w:type="spellStart"/>
      <w:r w:rsidRPr="000137F7">
        <w:rPr>
          <w:sz w:val="16"/>
          <w:szCs w:val="16"/>
          <w:lang w:val="id-ID"/>
        </w:rPr>
        <w:t>research</w:t>
      </w:r>
      <w:proofErr w:type="spellEnd"/>
      <w:r w:rsidRPr="000137F7">
        <w:rPr>
          <w:sz w:val="16"/>
          <w:szCs w:val="16"/>
          <w:lang w:val="id-ID"/>
        </w:rPr>
        <w:t xml:space="preserve"> </w:t>
      </w:r>
      <w:proofErr w:type="spellStart"/>
      <w:r w:rsidRPr="000137F7">
        <w:rPr>
          <w:sz w:val="16"/>
          <w:szCs w:val="16"/>
          <w:lang w:val="id-ID"/>
        </w:rPr>
        <w:t>journals</w:t>
      </w:r>
      <w:proofErr w:type="spellEnd"/>
      <w:r w:rsidRPr="000137F7">
        <w:rPr>
          <w:sz w:val="16"/>
          <w:szCs w:val="16"/>
          <w:lang w:val="id-ID"/>
        </w:rPr>
        <w:t xml:space="preserve"> </w:t>
      </w:r>
      <w:proofErr w:type="spellStart"/>
      <w:r w:rsidRPr="000137F7">
        <w:rPr>
          <w:sz w:val="16"/>
          <w:szCs w:val="16"/>
          <w:lang w:val="id-ID"/>
        </w:rPr>
        <w:t>is</w:t>
      </w:r>
      <w:proofErr w:type="spellEnd"/>
      <w:r w:rsidRPr="000137F7">
        <w:rPr>
          <w:sz w:val="16"/>
          <w:szCs w:val="16"/>
          <w:lang w:val="id-ID"/>
        </w:rPr>
        <w:t xml:space="preserve"> Correlation </w:t>
      </w:r>
      <w:proofErr w:type="spellStart"/>
      <w:r w:rsidRPr="000137F7">
        <w:rPr>
          <w:sz w:val="16"/>
          <w:szCs w:val="16"/>
          <w:lang w:val="id-ID"/>
        </w:rPr>
        <w:t>Between</w:t>
      </w:r>
      <w:proofErr w:type="spellEnd"/>
      <w:r w:rsidRPr="000137F7">
        <w:rPr>
          <w:sz w:val="16"/>
          <w:szCs w:val="16"/>
          <w:lang w:val="id-ID"/>
        </w:rPr>
        <w:t xml:space="preserve"> </w:t>
      </w:r>
      <w:proofErr w:type="spellStart"/>
      <w:r w:rsidRPr="000137F7">
        <w:rPr>
          <w:sz w:val="16"/>
          <w:szCs w:val="16"/>
          <w:lang w:val="id-ID"/>
        </w:rPr>
        <w:t>Implementation</w:t>
      </w:r>
      <w:proofErr w:type="spellEnd"/>
      <w:r w:rsidRPr="000137F7">
        <w:rPr>
          <w:sz w:val="16"/>
          <w:szCs w:val="16"/>
          <w:lang w:val="id-ID"/>
        </w:rPr>
        <w:t xml:space="preserve"> </w:t>
      </w:r>
      <w:proofErr w:type="spellStart"/>
      <w:r w:rsidRPr="000137F7">
        <w:rPr>
          <w:sz w:val="16"/>
          <w:szCs w:val="16"/>
          <w:lang w:val="id-ID"/>
        </w:rPr>
        <w:t>Intensity</w:t>
      </w:r>
      <w:proofErr w:type="spellEnd"/>
      <w:r w:rsidRPr="000137F7">
        <w:rPr>
          <w:sz w:val="16"/>
          <w:szCs w:val="16"/>
          <w:lang w:val="id-ID"/>
        </w:rPr>
        <w:t xml:space="preserve"> </w:t>
      </w:r>
      <w:proofErr w:type="spellStart"/>
      <w:r w:rsidRPr="000137F7">
        <w:rPr>
          <w:sz w:val="16"/>
          <w:szCs w:val="16"/>
          <w:lang w:val="id-ID"/>
        </w:rPr>
        <w:t>Of</w:t>
      </w:r>
      <w:proofErr w:type="spellEnd"/>
      <w:r w:rsidRPr="000137F7">
        <w:rPr>
          <w:sz w:val="16"/>
          <w:szCs w:val="16"/>
          <w:lang w:val="id-ID"/>
        </w:rPr>
        <w:t xml:space="preserve"> Internal </w:t>
      </w:r>
      <w:proofErr w:type="spellStart"/>
      <w:r w:rsidRPr="000137F7">
        <w:rPr>
          <w:sz w:val="16"/>
          <w:szCs w:val="16"/>
          <w:lang w:val="id-ID"/>
        </w:rPr>
        <w:t>Quality</w:t>
      </w:r>
      <w:proofErr w:type="spellEnd"/>
      <w:r w:rsidRPr="000137F7">
        <w:rPr>
          <w:sz w:val="16"/>
          <w:szCs w:val="16"/>
          <w:lang w:val="id-ID"/>
        </w:rPr>
        <w:t xml:space="preserve"> </w:t>
      </w:r>
      <w:proofErr w:type="spellStart"/>
      <w:r w:rsidRPr="000137F7">
        <w:rPr>
          <w:sz w:val="16"/>
          <w:szCs w:val="16"/>
          <w:lang w:val="id-ID"/>
        </w:rPr>
        <w:t>Control</w:t>
      </w:r>
      <w:proofErr w:type="spellEnd"/>
      <w:r w:rsidRPr="000137F7">
        <w:rPr>
          <w:sz w:val="16"/>
          <w:szCs w:val="16"/>
          <w:lang w:val="id-ID"/>
        </w:rPr>
        <w:t xml:space="preserve"> </w:t>
      </w:r>
      <w:proofErr w:type="spellStart"/>
      <w:r w:rsidRPr="000137F7">
        <w:rPr>
          <w:sz w:val="16"/>
          <w:szCs w:val="16"/>
          <w:lang w:val="id-ID"/>
        </w:rPr>
        <w:t>And</w:t>
      </w:r>
      <w:proofErr w:type="spellEnd"/>
      <w:r w:rsidRPr="000137F7">
        <w:rPr>
          <w:sz w:val="16"/>
          <w:szCs w:val="16"/>
          <w:lang w:val="id-ID"/>
        </w:rPr>
        <w:t xml:space="preserve"> The </w:t>
      </w:r>
      <w:proofErr w:type="spellStart"/>
      <w:r w:rsidRPr="000137F7">
        <w:rPr>
          <w:sz w:val="16"/>
          <w:szCs w:val="16"/>
          <w:lang w:val="id-ID"/>
        </w:rPr>
        <w:t>Outcome</w:t>
      </w:r>
      <w:proofErr w:type="spellEnd"/>
      <w:r w:rsidRPr="000137F7">
        <w:rPr>
          <w:sz w:val="16"/>
          <w:szCs w:val="16"/>
          <w:lang w:val="id-ID"/>
        </w:rPr>
        <w:t xml:space="preserve"> </w:t>
      </w:r>
      <w:proofErr w:type="spellStart"/>
      <w:r w:rsidRPr="000137F7">
        <w:rPr>
          <w:sz w:val="16"/>
          <w:szCs w:val="16"/>
          <w:lang w:val="id-ID"/>
        </w:rPr>
        <w:t>Of</w:t>
      </w:r>
      <w:proofErr w:type="spellEnd"/>
      <w:r w:rsidRPr="000137F7">
        <w:rPr>
          <w:sz w:val="16"/>
          <w:szCs w:val="16"/>
          <w:lang w:val="id-ID"/>
        </w:rPr>
        <w:t xml:space="preserve"> </w:t>
      </w:r>
      <w:proofErr w:type="spellStart"/>
      <w:r w:rsidRPr="000137F7">
        <w:rPr>
          <w:sz w:val="16"/>
          <w:szCs w:val="16"/>
          <w:lang w:val="id-ID"/>
        </w:rPr>
        <w:t>External</w:t>
      </w:r>
      <w:proofErr w:type="spellEnd"/>
      <w:r w:rsidRPr="000137F7">
        <w:rPr>
          <w:sz w:val="16"/>
          <w:szCs w:val="16"/>
          <w:lang w:val="id-ID"/>
        </w:rPr>
        <w:t xml:space="preserve"> </w:t>
      </w:r>
      <w:proofErr w:type="spellStart"/>
      <w:r w:rsidRPr="000137F7">
        <w:rPr>
          <w:sz w:val="16"/>
          <w:szCs w:val="16"/>
          <w:lang w:val="id-ID"/>
        </w:rPr>
        <w:t>Quality</w:t>
      </w:r>
      <w:proofErr w:type="spellEnd"/>
      <w:r w:rsidRPr="000137F7">
        <w:rPr>
          <w:sz w:val="16"/>
          <w:szCs w:val="16"/>
          <w:lang w:val="id-ID"/>
        </w:rPr>
        <w:t xml:space="preserve"> </w:t>
      </w:r>
      <w:proofErr w:type="spellStart"/>
      <w:r w:rsidRPr="000137F7">
        <w:rPr>
          <w:sz w:val="16"/>
          <w:szCs w:val="16"/>
          <w:lang w:val="id-ID"/>
        </w:rPr>
        <w:t>Control</w:t>
      </w:r>
      <w:proofErr w:type="spellEnd"/>
      <w:r w:rsidRPr="000137F7">
        <w:rPr>
          <w:sz w:val="16"/>
          <w:szCs w:val="16"/>
          <w:lang w:val="id-ID"/>
        </w:rPr>
        <w:t xml:space="preserve"> In The Parameter </w:t>
      </w:r>
      <w:proofErr w:type="spellStart"/>
      <w:r w:rsidRPr="000137F7">
        <w:rPr>
          <w:sz w:val="16"/>
          <w:szCs w:val="16"/>
          <w:lang w:val="id-ID"/>
        </w:rPr>
        <w:t>Of</w:t>
      </w:r>
      <w:proofErr w:type="spellEnd"/>
      <w:r w:rsidRPr="000137F7">
        <w:rPr>
          <w:sz w:val="16"/>
          <w:szCs w:val="16"/>
          <w:lang w:val="id-ID"/>
        </w:rPr>
        <w:t xml:space="preserve"> </w:t>
      </w:r>
      <w:proofErr w:type="spellStart"/>
      <w:r w:rsidRPr="000137F7">
        <w:rPr>
          <w:sz w:val="16"/>
          <w:szCs w:val="16"/>
          <w:lang w:val="id-ID"/>
        </w:rPr>
        <w:t>Complete</w:t>
      </w:r>
      <w:proofErr w:type="spellEnd"/>
      <w:r w:rsidRPr="000137F7">
        <w:rPr>
          <w:sz w:val="16"/>
          <w:szCs w:val="16"/>
          <w:lang w:val="id-ID"/>
        </w:rPr>
        <w:t xml:space="preserve"> </w:t>
      </w:r>
      <w:proofErr w:type="spellStart"/>
      <w:r w:rsidRPr="000137F7">
        <w:rPr>
          <w:sz w:val="16"/>
          <w:szCs w:val="16"/>
          <w:lang w:val="id-ID"/>
        </w:rPr>
        <w:t>Blood</w:t>
      </w:r>
      <w:proofErr w:type="spellEnd"/>
      <w:r w:rsidRPr="000137F7">
        <w:rPr>
          <w:sz w:val="16"/>
          <w:szCs w:val="16"/>
          <w:lang w:val="id-ID"/>
        </w:rPr>
        <w:t xml:space="preserve"> </w:t>
      </w:r>
      <w:proofErr w:type="spellStart"/>
      <w:r w:rsidRPr="000137F7">
        <w:rPr>
          <w:sz w:val="16"/>
          <w:szCs w:val="16"/>
          <w:lang w:val="id-ID"/>
        </w:rPr>
        <w:t>Count</w:t>
      </w:r>
      <w:proofErr w:type="spellEnd"/>
      <w:r w:rsidRPr="000137F7">
        <w:rPr>
          <w:sz w:val="16"/>
          <w:szCs w:val="16"/>
          <w:lang w:val="id-ID"/>
        </w:rPr>
        <w:t xml:space="preserve"> At </w:t>
      </w:r>
      <w:proofErr w:type="spellStart"/>
      <w:r w:rsidRPr="000137F7">
        <w:rPr>
          <w:sz w:val="16"/>
          <w:szCs w:val="16"/>
          <w:lang w:val="id-ID"/>
        </w:rPr>
        <w:t>Public</w:t>
      </w:r>
      <w:proofErr w:type="spellEnd"/>
      <w:r w:rsidRPr="000137F7">
        <w:rPr>
          <w:sz w:val="16"/>
          <w:szCs w:val="16"/>
          <w:lang w:val="id-ID"/>
        </w:rPr>
        <w:t xml:space="preserve"> </w:t>
      </w:r>
      <w:proofErr w:type="spellStart"/>
      <w:r w:rsidRPr="000137F7">
        <w:rPr>
          <w:sz w:val="16"/>
          <w:szCs w:val="16"/>
          <w:lang w:val="id-ID"/>
        </w:rPr>
        <w:t>Health</w:t>
      </w:r>
      <w:proofErr w:type="spellEnd"/>
      <w:r w:rsidRPr="000137F7">
        <w:rPr>
          <w:sz w:val="16"/>
          <w:szCs w:val="16"/>
          <w:lang w:val="id-ID"/>
        </w:rPr>
        <w:t xml:space="preserve"> Center </w:t>
      </w:r>
      <w:proofErr w:type="spellStart"/>
      <w:r w:rsidRPr="000137F7">
        <w:rPr>
          <w:sz w:val="16"/>
          <w:szCs w:val="16"/>
          <w:lang w:val="id-ID"/>
        </w:rPr>
        <w:t>Laboratories</w:t>
      </w:r>
      <w:proofErr w:type="spellEnd"/>
      <w:r w:rsidRPr="000137F7">
        <w:rPr>
          <w:sz w:val="16"/>
          <w:szCs w:val="16"/>
          <w:lang w:val="id-ID"/>
        </w:rPr>
        <w:t>, Gianyar Regency ISSN: 2580-4936</w:t>
      </w:r>
    </w:p>
    <w:p w14:paraId="0B5CF4C1" w14:textId="16E6042F" w:rsidR="005C3B7E" w:rsidRDefault="000137F7" w:rsidP="00B82E15">
      <w:pPr>
        <w:jc w:val="both"/>
        <w:rPr>
          <w:sz w:val="16"/>
          <w:szCs w:val="16"/>
        </w:rPr>
      </w:pPr>
      <w:r w:rsidRPr="000137F7">
        <w:rPr>
          <w:sz w:val="16"/>
          <w:szCs w:val="16"/>
        </w:rPr>
        <w:t xml:space="preserve">Dr. Anik </w:t>
      </w:r>
      <w:proofErr w:type="spellStart"/>
      <w:r w:rsidRPr="000137F7">
        <w:rPr>
          <w:sz w:val="16"/>
          <w:szCs w:val="16"/>
        </w:rPr>
        <w:t>Handayati</w:t>
      </w:r>
      <w:proofErr w:type="spellEnd"/>
      <w:r w:rsidRPr="000137F7">
        <w:rPr>
          <w:sz w:val="16"/>
          <w:szCs w:val="16"/>
        </w:rPr>
        <w:t xml:space="preserve">, </w:t>
      </w:r>
      <w:proofErr w:type="spellStart"/>
      <w:r w:rsidRPr="000137F7">
        <w:rPr>
          <w:sz w:val="16"/>
          <w:szCs w:val="16"/>
        </w:rPr>
        <w:t>dra.</w:t>
      </w:r>
      <w:proofErr w:type="spellEnd"/>
      <w:r w:rsidRPr="000137F7">
        <w:rPr>
          <w:sz w:val="16"/>
          <w:szCs w:val="16"/>
        </w:rPr>
        <w:t xml:space="preserve">, </w:t>
      </w:r>
      <w:proofErr w:type="spellStart"/>
      <w:proofErr w:type="gramStart"/>
      <w:r w:rsidRPr="000137F7">
        <w:rPr>
          <w:sz w:val="16"/>
          <w:szCs w:val="16"/>
        </w:rPr>
        <w:t>M.Kes</w:t>
      </w:r>
      <w:proofErr w:type="spellEnd"/>
      <w:proofErr w:type="gramEnd"/>
      <w:r w:rsidRPr="000137F7">
        <w:rPr>
          <w:sz w:val="16"/>
          <w:szCs w:val="16"/>
        </w:rPr>
        <w:t xml:space="preserve"> is one of the administrators at DPC </w:t>
      </w:r>
      <w:proofErr w:type="spellStart"/>
      <w:r w:rsidRPr="000137F7">
        <w:rPr>
          <w:sz w:val="16"/>
          <w:szCs w:val="16"/>
        </w:rPr>
        <w:t>Patelki</w:t>
      </w:r>
      <w:proofErr w:type="spellEnd"/>
      <w:r w:rsidRPr="000137F7">
        <w:rPr>
          <w:sz w:val="16"/>
          <w:szCs w:val="16"/>
        </w:rPr>
        <w:t xml:space="preserve"> Surabaya since 2016 until now.</w:t>
      </w:r>
    </w:p>
    <w:p w14:paraId="113B3D1E" w14:textId="28A46AA9" w:rsidR="009116D8" w:rsidRDefault="009116D8" w:rsidP="00B82E15">
      <w:pPr>
        <w:jc w:val="both"/>
        <w:rPr>
          <w:sz w:val="16"/>
          <w:szCs w:val="16"/>
        </w:rPr>
      </w:pPr>
    </w:p>
    <w:p w14:paraId="469CA92A" w14:textId="03128CF3" w:rsidR="009116D8" w:rsidRDefault="009116D8" w:rsidP="00B82E15">
      <w:pPr>
        <w:jc w:val="both"/>
        <w:rPr>
          <w:sz w:val="16"/>
          <w:szCs w:val="16"/>
        </w:rPr>
      </w:pPr>
    </w:p>
    <w:p w14:paraId="79B5EDD6" w14:textId="53722759" w:rsidR="009116D8" w:rsidRDefault="009116D8" w:rsidP="00B82E15">
      <w:pPr>
        <w:jc w:val="both"/>
        <w:rPr>
          <w:sz w:val="16"/>
          <w:szCs w:val="16"/>
        </w:rPr>
      </w:pPr>
    </w:p>
    <w:p w14:paraId="5D5C74CC" w14:textId="77777777" w:rsidR="009116D8" w:rsidRDefault="009116D8" w:rsidP="00B82E15">
      <w:pPr>
        <w:jc w:val="both"/>
        <w:rPr>
          <w:sz w:val="16"/>
          <w:szCs w:val="16"/>
        </w:rPr>
      </w:pPr>
    </w:p>
    <w:p w14:paraId="4EB749C0" w14:textId="77777777" w:rsidR="00B82E15" w:rsidRDefault="00B82E15" w:rsidP="00B82E15">
      <w:pPr>
        <w:jc w:val="both"/>
        <w:rPr>
          <w:sz w:val="16"/>
          <w:szCs w:val="16"/>
        </w:rPr>
      </w:pPr>
    </w:p>
    <w:p w14:paraId="082656A0" w14:textId="77777777" w:rsidR="000F0823" w:rsidRPr="00E90D9B" w:rsidRDefault="000F0823" w:rsidP="00E90D9B">
      <w:pPr>
        <w:rPr>
          <w:sz w:val="16"/>
          <w:szCs w:val="16"/>
        </w:rPr>
      </w:pPr>
    </w:p>
    <w:p w14:paraId="41D5E8AE" w14:textId="29559DF2" w:rsidR="00EF1537" w:rsidRPr="00460B55" w:rsidRDefault="004A4CB8" w:rsidP="00B82E15">
      <w:pPr>
        <w:jc w:val="both"/>
        <w:rPr>
          <w:sz w:val="16"/>
          <w:szCs w:val="16"/>
        </w:rPr>
      </w:pPr>
      <w:r>
        <w:rPr>
          <w:noProof/>
        </w:rPr>
        <w:lastRenderedPageBreak/>
        <w:drawing>
          <wp:anchor distT="0" distB="0" distL="114300" distR="114300" simplePos="0" relativeHeight="251660288" behindDoc="0" locked="0" layoutInCell="1" allowOverlap="1" wp14:anchorId="59DA049C" wp14:editId="106D5357">
            <wp:simplePos x="0" y="0"/>
            <wp:positionH relativeFrom="column">
              <wp:posOffset>-475</wp:posOffset>
            </wp:positionH>
            <wp:positionV relativeFrom="paragraph">
              <wp:posOffset>302</wp:posOffset>
            </wp:positionV>
            <wp:extent cx="807887" cy="1213339"/>
            <wp:effectExtent l="0" t="0" r="0" b="635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y Diah W.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807887" cy="1213339"/>
                    </a:xfrm>
                    <a:prstGeom prst="rect">
                      <a:avLst/>
                    </a:prstGeom>
                  </pic:spPr>
                </pic:pic>
              </a:graphicData>
            </a:graphic>
            <wp14:sizeRelH relativeFrom="page">
              <wp14:pctWidth>0</wp14:pctWidth>
            </wp14:sizeRelH>
            <wp14:sizeRelV relativeFrom="page">
              <wp14:pctHeight>0</wp14:pctHeight>
            </wp14:sizeRelV>
          </wp:anchor>
        </w:drawing>
      </w:r>
      <w:r w:rsidR="00460B55">
        <w:t xml:space="preserve"> </w:t>
      </w:r>
      <w:r w:rsidR="00CB1F92" w:rsidRPr="00460B55">
        <w:rPr>
          <w:rFonts w:ascii="Helvetica" w:hAnsi="Helvetica" w:cs="Helvetica"/>
          <w:b/>
          <w:sz w:val="16"/>
          <w:szCs w:val="16"/>
        </w:rPr>
        <w:t xml:space="preserve">EVY DIAH WOELANSARI, </w:t>
      </w:r>
      <w:proofErr w:type="spellStart"/>
      <w:proofErr w:type="gramStart"/>
      <w:r w:rsidR="00CB1F92" w:rsidRPr="00460B55">
        <w:rPr>
          <w:rFonts w:ascii="Helvetica" w:hAnsi="Helvetica" w:cs="Helvetica"/>
          <w:b/>
          <w:sz w:val="16"/>
          <w:szCs w:val="16"/>
        </w:rPr>
        <w:t>S.Si</w:t>
      </w:r>
      <w:proofErr w:type="spellEnd"/>
      <w:proofErr w:type="gramEnd"/>
      <w:r w:rsidR="00CB1F92" w:rsidRPr="00460B55">
        <w:rPr>
          <w:rFonts w:ascii="Helvetica" w:hAnsi="Helvetica" w:cs="Helvetica"/>
          <w:b/>
          <w:sz w:val="16"/>
          <w:szCs w:val="16"/>
        </w:rPr>
        <w:t xml:space="preserve">, </w:t>
      </w:r>
      <w:proofErr w:type="spellStart"/>
      <w:r w:rsidR="00CB1F92" w:rsidRPr="00460B55">
        <w:rPr>
          <w:rFonts w:ascii="Helvetica" w:hAnsi="Helvetica" w:cs="Helvetica"/>
          <w:b/>
          <w:sz w:val="16"/>
          <w:szCs w:val="16"/>
        </w:rPr>
        <w:t>M.Kes</w:t>
      </w:r>
      <w:proofErr w:type="spellEnd"/>
      <w:r w:rsidR="00CB1F92" w:rsidRPr="00842CBB">
        <w:t xml:space="preserve"> </w:t>
      </w:r>
      <w:r w:rsidR="006E5822">
        <w:rPr>
          <w:sz w:val="16"/>
          <w:szCs w:val="16"/>
        </w:rPr>
        <w:t>was born in Surabaya, 1975. Sh</w:t>
      </w:r>
      <w:r w:rsidR="00CB1F92" w:rsidRPr="00460B55">
        <w:rPr>
          <w:sz w:val="16"/>
          <w:szCs w:val="16"/>
        </w:rPr>
        <w:t xml:space="preserve">e obtained the title of </w:t>
      </w:r>
      <w:proofErr w:type="spellStart"/>
      <w:r w:rsidR="00CB1F92" w:rsidRPr="00460B55">
        <w:rPr>
          <w:sz w:val="16"/>
          <w:szCs w:val="16"/>
        </w:rPr>
        <w:t>Amd</w:t>
      </w:r>
      <w:proofErr w:type="spellEnd"/>
      <w:r w:rsidR="00CB1F92" w:rsidRPr="00460B55">
        <w:rPr>
          <w:sz w:val="16"/>
          <w:szCs w:val="16"/>
        </w:rPr>
        <w:t>. Case in the field of Medical Analyst from Ai</w:t>
      </w:r>
      <w:r w:rsidR="006E5822">
        <w:rPr>
          <w:sz w:val="16"/>
          <w:szCs w:val="16"/>
        </w:rPr>
        <w:t>rlangga University. Obtained her</w:t>
      </w:r>
      <w:r w:rsidR="00CB1F92" w:rsidRPr="00460B55">
        <w:rPr>
          <w:sz w:val="16"/>
          <w:szCs w:val="16"/>
        </w:rPr>
        <w:t xml:space="preserve"> </w:t>
      </w:r>
      <w:proofErr w:type="spellStart"/>
      <w:proofErr w:type="gramStart"/>
      <w:r w:rsidR="00CB1F92" w:rsidRPr="00460B55">
        <w:rPr>
          <w:sz w:val="16"/>
          <w:szCs w:val="16"/>
        </w:rPr>
        <w:t>S.Si</w:t>
      </w:r>
      <w:proofErr w:type="spellEnd"/>
      <w:proofErr w:type="gramEnd"/>
      <w:r w:rsidR="00CB1F92" w:rsidRPr="00460B55">
        <w:rPr>
          <w:sz w:val="16"/>
          <w:szCs w:val="16"/>
        </w:rPr>
        <w:t xml:space="preserve"> degree in Biology from PGRI Adi Buana University Surabaya and obtained his </w:t>
      </w:r>
      <w:proofErr w:type="spellStart"/>
      <w:r w:rsidR="00CB1F92" w:rsidRPr="00460B55">
        <w:rPr>
          <w:sz w:val="16"/>
          <w:szCs w:val="16"/>
        </w:rPr>
        <w:t>M.Kes</w:t>
      </w:r>
      <w:proofErr w:type="spellEnd"/>
      <w:r w:rsidR="00CB1F92" w:rsidRPr="00460B55">
        <w:rPr>
          <w:sz w:val="16"/>
          <w:szCs w:val="16"/>
        </w:rPr>
        <w:t xml:space="preserve"> degree in Immunology from Airlangga University</w:t>
      </w:r>
    </w:p>
    <w:p w14:paraId="464C29A9" w14:textId="63C4C1F5" w:rsidR="00EF1537" w:rsidRPr="00460B55" w:rsidRDefault="00EF1537" w:rsidP="00B82E15">
      <w:pPr>
        <w:jc w:val="both"/>
        <w:rPr>
          <w:sz w:val="16"/>
          <w:szCs w:val="16"/>
        </w:rPr>
      </w:pPr>
      <w:r w:rsidRPr="00460B55">
        <w:rPr>
          <w:sz w:val="16"/>
          <w:szCs w:val="16"/>
        </w:rPr>
        <w:t xml:space="preserve">Evy Diah </w:t>
      </w:r>
      <w:proofErr w:type="spellStart"/>
      <w:r w:rsidRPr="00460B55">
        <w:rPr>
          <w:sz w:val="16"/>
          <w:szCs w:val="16"/>
        </w:rPr>
        <w:t>Woelansari</w:t>
      </w:r>
      <w:proofErr w:type="spellEnd"/>
      <w:r w:rsidRPr="00460B55">
        <w:rPr>
          <w:sz w:val="16"/>
          <w:szCs w:val="16"/>
        </w:rPr>
        <w:t xml:space="preserve">, </w:t>
      </w:r>
      <w:proofErr w:type="spellStart"/>
      <w:proofErr w:type="gramStart"/>
      <w:r w:rsidRPr="00460B55">
        <w:rPr>
          <w:sz w:val="16"/>
          <w:szCs w:val="16"/>
        </w:rPr>
        <w:t>S.Si</w:t>
      </w:r>
      <w:proofErr w:type="spellEnd"/>
      <w:proofErr w:type="gramEnd"/>
      <w:r w:rsidRPr="00460B55">
        <w:rPr>
          <w:sz w:val="16"/>
          <w:szCs w:val="16"/>
        </w:rPr>
        <w:t xml:space="preserve"> </w:t>
      </w:r>
      <w:proofErr w:type="spellStart"/>
      <w:r w:rsidRPr="00460B55">
        <w:rPr>
          <w:sz w:val="16"/>
          <w:szCs w:val="16"/>
        </w:rPr>
        <w:t>M.Kes</w:t>
      </w:r>
      <w:proofErr w:type="spellEnd"/>
      <w:r w:rsidRPr="00460B55">
        <w:rPr>
          <w:sz w:val="16"/>
          <w:szCs w:val="16"/>
        </w:rPr>
        <w:t xml:space="preserve"> in the past 5 years, she has published 5 research journals, including; Characteristics of Aspergillus sp. And Penicillium sp. In Peanut </w:t>
      </w:r>
      <w:proofErr w:type="spellStart"/>
      <w:r w:rsidRPr="00460B55">
        <w:rPr>
          <w:sz w:val="16"/>
          <w:szCs w:val="16"/>
        </w:rPr>
        <w:t>Sucrosa</w:t>
      </w:r>
      <w:proofErr w:type="spellEnd"/>
      <w:r w:rsidRPr="00460B55">
        <w:rPr>
          <w:sz w:val="16"/>
          <w:szCs w:val="16"/>
        </w:rPr>
        <w:t xml:space="preserve"> Agar (PSA) Media as Alternative Mushroom Media Candidates (2020), Peanut </w:t>
      </w:r>
      <w:proofErr w:type="spellStart"/>
      <w:r w:rsidRPr="00460B55">
        <w:rPr>
          <w:sz w:val="16"/>
          <w:szCs w:val="16"/>
        </w:rPr>
        <w:t>Sucrosa</w:t>
      </w:r>
      <w:proofErr w:type="spellEnd"/>
      <w:r w:rsidRPr="00460B55">
        <w:rPr>
          <w:sz w:val="16"/>
          <w:szCs w:val="16"/>
        </w:rPr>
        <w:t xml:space="preserve"> Agar (PSA) As Candida albicans Modification Media in Urine of Diabetes Mellitus Patients (2019), The Effectiveness of Black Cumin Extract (Nigella </w:t>
      </w:r>
      <w:r w:rsidR="006E5822">
        <w:rPr>
          <w:sz w:val="16"/>
          <w:szCs w:val="16"/>
        </w:rPr>
        <w:t xml:space="preserve">sativa L) Against the Number of </w:t>
      </w:r>
      <w:r w:rsidRPr="00460B55">
        <w:rPr>
          <w:sz w:val="16"/>
          <w:szCs w:val="16"/>
        </w:rPr>
        <w:t>Eosinophil Cells in Allergic Mice Blood and Intestinal Tissue (2018)</w:t>
      </w:r>
    </w:p>
    <w:p w14:paraId="72E7190D" w14:textId="77777777" w:rsidR="00CB1F92" w:rsidRPr="00842CBB" w:rsidRDefault="00CB1F92" w:rsidP="00EF1537">
      <w:pPr>
        <w:pStyle w:val="AUBios"/>
      </w:pPr>
    </w:p>
    <w:p w14:paraId="26B8EDB4" w14:textId="77777777" w:rsidR="0003253A" w:rsidRPr="00842CBB" w:rsidRDefault="0003253A" w:rsidP="00CB1F92"/>
    <w:sectPr w:rsidR="0003253A" w:rsidRPr="00842CBB" w:rsidSect="00B82E15">
      <w:type w:val="continuous"/>
      <w:pgSz w:w="11520" w:h="15660" w:code="1"/>
      <w:pgMar w:top="1080" w:right="740" w:bottom="1040" w:left="740" w:header="360" w:footer="640" w:gutter="0"/>
      <w:cols w:num="2" w:space="4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6D21B" w14:textId="77777777" w:rsidR="00D91BCB" w:rsidRDefault="00D91BCB">
      <w:r>
        <w:separator/>
      </w:r>
    </w:p>
  </w:endnote>
  <w:endnote w:type="continuationSeparator" w:id="0">
    <w:p w14:paraId="0A269C93" w14:textId="77777777" w:rsidR="00D91BCB" w:rsidRDefault="00D91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Helvetica">
    <w:panose1 w:val="020B0504020202020204"/>
    <w:charset w:val="00"/>
    <w:family w:val="swiss"/>
    <w:pitch w:val="variable"/>
    <w:sig w:usb0="E0002AFF" w:usb1="C0007843" w:usb2="00000009" w:usb3="00000000" w:csb0="000001FF" w:csb1="00000000"/>
  </w:font>
  <w:font w:name="FormataOTF-Bold">
    <w:altName w:val="Calibri"/>
    <w:panose1 w:val="00000000000000000000"/>
    <w:charset w:val="00"/>
    <w:family w:val="auto"/>
    <w:notTrueType/>
    <w:pitch w:val="default"/>
    <w:sig w:usb0="00000003" w:usb1="00000000" w:usb2="00000000" w:usb3="00000000" w:csb0="00000001" w:csb1="00000000"/>
  </w:font>
  <w:font w:name="FormataOTFMdIt">
    <w:altName w:val="Calibri"/>
    <w:panose1 w:val="00000000000000000000"/>
    <w:charset w:val="00"/>
    <w:family w:val="auto"/>
    <w:notTrueType/>
    <w:pitch w:val="default"/>
    <w:sig w:usb0="00000003" w:usb1="00000000" w:usb2="00000000" w:usb3="00000000" w:csb0="00000001" w:csb1="00000000"/>
  </w:font>
  <w:font w:name="FormataOTF-Reg">
    <w:altName w:val="Calibri"/>
    <w:panose1 w:val="00000000000000000000"/>
    <w:charset w:val="00"/>
    <w:family w:val="auto"/>
    <w:notTrueType/>
    <w:pitch w:val="default"/>
    <w:sig w:usb0="00000003" w:usb1="00000000" w:usb2="00000000" w:usb3="00000000" w:csb0="00000001" w:csb1="00000000"/>
  </w:font>
  <w:font w:name="TimesLTStd-Roman">
    <w:altName w:val="Times New Roman"/>
    <w:panose1 w:val="00000000000000000000"/>
    <w:charset w:val="00"/>
    <w:family w:val="auto"/>
    <w:notTrueType/>
    <w:pitch w:val="default"/>
    <w:sig w:usb0="00000003" w:usb1="00000000" w:usb2="00000000" w:usb3="00000000" w:csb0="00000001" w:csb1="00000000"/>
  </w:font>
  <w:font w:name="MTSYN">
    <w:panose1 w:val="00000000000000000000"/>
    <w:charset w:val="00"/>
    <w:family w:val="auto"/>
    <w:notTrueType/>
    <w:pitch w:val="default"/>
    <w:sig w:usb0="00000003" w:usb1="00000000" w:usb2="00000000" w:usb3="00000000" w:csb0="00000001" w:csb1="00000000"/>
  </w:font>
  <w:font w:name="FormataOTFM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Formata-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auto"/>
    <w:pitch w:val="default"/>
  </w:font>
  <w:font w:name="Formata OTF">
    <w:altName w:val="Calibri"/>
    <w:panose1 w:val="00000000000000000000"/>
    <w:charset w:val="00"/>
    <w:family w:val="moder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E5D6D" w14:textId="02CCCB64" w:rsidR="00C04E4A" w:rsidRDefault="00C04E4A" w:rsidP="00C04E4A">
    <w:pPr>
      <w:pBdr>
        <w:top w:val="nil"/>
        <w:left w:val="nil"/>
        <w:bottom w:val="nil"/>
        <w:right w:val="nil"/>
        <w:between w:val="nil"/>
      </w:pBdr>
      <w:tabs>
        <w:tab w:val="center" w:pos="4320"/>
        <w:tab w:val="right" w:pos="8640"/>
        <w:tab w:val="right" w:pos="10044"/>
      </w:tabs>
      <w:rPr>
        <w:rFonts w:ascii="Helvetica Neue" w:eastAsia="Helvetica Neue" w:hAnsi="Helvetica Neue" w:cs="Helvetica Neue"/>
        <w:color w:val="000000"/>
        <w:sz w:val="16"/>
        <w:szCs w:val="16"/>
      </w:rPr>
    </w:pPr>
    <w:r w:rsidRPr="00FB5B74">
      <w:rPr>
        <w:rFonts w:ascii="Formata OTF" w:eastAsia="Formata OTF" w:hAnsi="Formata OTF" w:cs="Formata OTF"/>
        <w:b/>
        <w:color w:val="000000"/>
        <w:sz w:val="16"/>
        <w:szCs w:val="16"/>
      </w:rPr>
      <w:t xml:space="preserve">Vol. </w:t>
    </w:r>
    <w:r>
      <w:rPr>
        <w:rFonts w:ascii="Formata OTF" w:eastAsia="Formata OTF" w:hAnsi="Formata OTF" w:cs="Formata OTF"/>
        <w:b/>
        <w:color w:val="000000"/>
        <w:sz w:val="16"/>
        <w:szCs w:val="16"/>
      </w:rPr>
      <w:t>2</w:t>
    </w:r>
    <w:r w:rsidRPr="00FB5B74">
      <w:rPr>
        <w:rFonts w:ascii="Formata OTF" w:eastAsia="Formata OTF" w:hAnsi="Formata OTF" w:cs="Formata OTF"/>
        <w:b/>
        <w:color w:val="000000"/>
        <w:sz w:val="16"/>
        <w:szCs w:val="16"/>
      </w:rPr>
      <w:t xml:space="preserve"> No. </w:t>
    </w:r>
    <w:r>
      <w:rPr>
        <w:rFonts w:ascii="Formata OTF" w:eastAsia="Formata OTF" w:hAnsi="Formata OTF" w:cs="Formata OTF"/>
        <w:b/>
        <w:color w:val="000000"/>
        <w:sz w:val="16"/>
        <w:szCs w:val="16"/>
      </w:rPr>
      <w:t>6</w:t>
    </w:r>
    <w:r w:rsidRPr="00FB5B74">
      <w:rPr>
        <w:rFonts w:ascii="Formata OTF" w:eastAsia="Formata OTF" w:hAnsi="Formata OTF" w:cs="Formata OTF"/>
        <w:b/>
        <w:color w:val="000000"/>
        <w:sz w:val="16"/>
        <w:szCs w:val="16"/>
      </w:rPr>
      <w:t xml:space="preserve">, </w:t>
    </w:r>
    <w:r>
      <w:rPr>
        <w:rFonts w:ascii="Formata OTF" w:eastAsia="Formata OTF" w:hAnsi="Formata OTF" w:cs="Formata OTF"/>
        <w:b/>
        <w:color w:val="000000"/>
        <w:sz w:val="16"/>
        <w:szCs w:val="16"/>
      </w:rPr>
      <w:t>December</w:t>
    </w:r>
    <w:r w:rsidRPr="00FB5B74">
      <w:rPr>
        <w:rFonts w:ascii="Formata OTF" w:eastAsia="Formata OTF" w:hAnsi="Formata OTF" w:cs="Formata OTF"/>
        <w:b/>
        <w:color w:val="000000"/>
        <w:sz w:val="16"/>
        <w:szCs w:val="16"/>
      </w:rPr>
      <w:t xml:space="preserve"> 2022, pp:</w:t>
    </w:r>
    <w:r>
      <w:rPr>
        <w:rFonts w:ascii="Formata OTF" w:eastAsia="Formata OTF" w:hAnsi="Formata OTF" w:cs="Formata OTF"/>
        <w:b/>
        <w:color w:val="000000"/>
        <w:sz w:val="16"/>
        <w:szCs w:val="16"/>
      </w:rPr>
      <w:t>407</w:t>
    </w:r>
    <w:r w:rsidRPr="00FB5B74">
      <w:rPr>
        <w:rFonts w:ascii="Formata OTF" w:eastAsia="Formata OTF" w:hAnsi="Formata OTF" w:cs="Formata OTF"/>
        <w:b/>
        <w:color w:val="000000"/>
        <w:sz w:val="16"/>
        <w:szCs w:val="16"/>
      </w:rPr>
      <w:t>-</w:t>
    </w:r>
    <w:r>
      <w:rPr>
        <w:rFonts w:ascii="Formata OTF" w:eastAsia="Formata OTF" w:hAnsi="Formata OTF" w:cs="Formata OTF"/>
        <w:b/>
        <w:color w:val="000000"/>
        <w:sz w:val="16"/>
        <w:szCs w:val="16"/>
      </w:rPr>
      <w:t>41</w:t>
    </w:r>
    <w:r w:rsidR="00132C0C">
      <w:rPr>
        <w:rFonts w:ascii="Formata OTF" w:eastAsia="Formata OTF" w:hAnsi="Formata OTF" w:cs="Formata OTF"/>
        <w:b/>
        <w:color w:val="000000"/>
        <w:sz w:val="16"/>
        <w:szCs w:val="16"/>
      </w:rPr>
      <w:t>3</w:t>
    </w:r>
    <w:r>
      <w:rPr>
        <w:rFonts w:ascii="Formata OTF" w:eastAsia="Formata OTF" w:hAnsi="Formata OTF" w:cs="Formata OTF"/>
        <w:b/>
        <w:color w:val="000000"/>
        <w:sz w:val="16"/>
        <w:szCs w:val="16"/>
      </w:rPr>
      <w:t xml:space="preserve">;   </w:t>
    </w:r>
    <w:r>
      <w:rPr>
        <w:rFonts w:ascii="Helvetica Neue" w:eastAsia="Helvetica Neue" w:hAnsi="Helvetica Neue" w:cs="Helvetica Neue"/>
        <w:color w:val="000000"/>
        <w:sz w:val="16"/>
        <w:szCs w:val="16"/>
      </w:rPr>
      <w:t xml:space="preserve">                                                                                                      </w:t>
    </w:r>
  </w:p>
  <w:p w14:paraId="7EF67DDA" w14:textId="17A6F87A" w:rsidR="000160D3" w:rsidRPr="00C04E4A" w:rsidRDefault="00C04E4A" w:rsidP="00C04E4A">
    <w:pPr>
      <w:pBdr>
        <w:top w:val="nil"/>
        <w:left w:val="nil"/>
        <w:bottom w:val="nil"/>
        <w:right w:val="nil"/>
        <w:between w:val="nil"/>
      </w:pBdr>
      <w:tabs>
        <w:tab w:val="center" w:pos="4320"/>
        <w:tab w:val="right" w:pos="8640"/>
        <w:tab w:val="right" w:pos="10044"/>
      </w:tabs>
      <w:rPr>
        <w:rFonts w:ascii="Helvetica Neue" w:eastAsia="Helvetica Neue" w:hAnsi="Helvetica Neue" w:cs="Helvetica Neue"/>
        <w:color w:val="000000"/>
        <w:sz w:val="16"/>
        <w:szCs w:val="16"/>
      </w:rPr>
    </w:pPr>
    <w:r>
      <w:rPr>
        <w:rFonts w:ascii="Helvetica Neue" w:eastAsia="Helvetica Neue" w:hAnsi="Helvetica Neue" w:cs="Helvetica Neue"/>
        <w:color w:val="000000"/>
        <w:sz w:val="16"/>
        <w:szCs w:val="16"/>
      </w:rPr>
      <w:t xml:space="preserve"> </w:t>
    </w:r>
    <w:hyperlink r:id="rId1">
      <w:r>
        <w:rPr>
          <w:rFonts w:ascii="Helvetica Neue" w:eastAsia="Helvetica Neue" w:hAnsi="Helvetica Neue" w:cs="Helvetica Neue"/>
          <w:color w:val="0000FF"/>
          <w:sz w:val="16"/>
          <w:szCs w:val="16"/>
          <w:u w:val="single"/>
        </w:rPr>
        <w:t>Homepage: ijahst.org</w:t>
      </w:r>
    </w:hyperlink>
    <w:r>
      <w:rPr>
        <w:rFonts w:ascii="Helvetica Neue" w:eastAsia="Helvetica Neue" w:hAnsi="Helvetica Neue" w:cs="Helvetica Neue"/>
        <w:color w:val="0000FF"/>
        <w:sz w:val="16"/>
        <w:szCs w:val="16"/>
        <w:u w:val="single"/>
      </w:rPr>
      <w:t xml:space="preserve"> </w:t>
    </w:r>
    <w:r>
      <w:rPr>
        <w:rFonts w:ascii="Helvetica Neue" w:eastAsia="Helvetica Neue" w:hAnsi="Helvetica Neue" w:cs="Helvetica Neue"/>
        <w:color w:val="000000"/>
        <w:sz w:val="16"/>
        <w:szCs w:val="16"/>
      </w:rPr>
      <w:t xml:space="preserve">                </w:t>
    </w:r>
    <w:r>
      <w:rPr>
        <w:rFonts w:ascii="Helvetica Neue" w:eastAsia="Helvetica Neue" w:hAnsi="Helvetica Neue" w:cs="Helvetica Neue"/>
        <w:color w:val="000000"/>
        <w:sz w:val="16"/>
        <w:szCs w:val="16"/>
      </w:rPr>
      <w:tab/>
    </w:r>
    <w:r>
      <w:rPr>
        <w:rFonts w:ascii="Helvetica Neue" w:eastAsia="Helvetica Neue" w:hAnsi="Helvetica Neue" w:cs="Helvetica Neue"/>
        <w:color w:val="000000"/>
        <w:sz w:val="16"/>
        <w:szCs w:val="16"/>
      </w:rPr>
      <w:tab/>
    </w:r>
    <w:r>
      <w:rPr>
        <w:rFonts w:ascii="Helvetica Neue" w:eastAsia="Helvetica Neue" w:hAnsi="Helvetica Neue" w:cs="Helvetica Neue"/>
        <w:color w:val="000000"/>
        <w:sz w:val="16"/>
        <w:szCs w:val="16"/>
      </w:rPr>
      <w:tab/>
    </w:r>
    <w:r>
      <w:rPr>
        <w:rFonts w:ascii="Helvetica Neue" w:eastAsia="Helvetica Neue" w:hAnsi="Helvetica Neue" w:cs="Helvetica Neue"/>
        <w:color w:val="000000"/>
        <w:sz w:val="16"/>
        <w:szCs w:val="16"/>
      </w:rPr>
      <w:fldChar w:fldCharType="begin"/>
    </w:r>
    <w:r>
      <w:rPr>
        <w:rFonts w:ascii="Helvetica Neue" w:eastAsia="Helvetica Neue" w:hAnsi="Helvetica Neue" w:cs="Helvetica Neue"/>
        <w:color w:val="000000"/>
        <w:sz w:val="16"/>
        <w:szCs w:val="16"/>
      </w:rPr>
      <w:instrText>PAGE</w:instrText>
    </w:r>
    <w:r>
      <w:rPr>
        <w:rFonts w:ascii="Helvetica Neue" w:eastAsia="Helvetica Neue" w:hAnsi="Helvetica Neue" w:cs="Helvetica Neue"/>
        <w:color w:val="000000"/>
        <w:sz w:val="16"/>
        <w:szCs w:val="16"/>
      </w:rPr>
      <w:fldChar w:fldCharType="separate"/>
    </w:r>
    <w:r w:rsidR="00082E72">
      <w:rPr>
        <w:rFonts w:ascii="Helvetica Neue" w:eastAsia="Helvetica Neue" w:hAnsi="Helvetica Neue" w:cs="Helvetica Neue"/>
        <w:noProof/>
        <w:color w:val="000000"/>
        <w:sz w:val="16"/>
        <w:szCs w:val="16"/>
      </w:rPr>
      <w:t>412</w:t>
    </w:r>
    <w:r>
      <w:rPr>
        <w:rFonts w:ascii="Helvetica Neue" w:eastAsia="Helvetica Neue" w:hAnsi="Helvetica Neue" w:cs="Helvetica Neue"/>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1CBAE" w14:textId="77777777" w:rsidR="00D91BCB" w:rsidRDefault="00D91BCB">
      <w:r>
        <w:separator/>
      </w:r>
    </w:p>
  </w:footnote>
  <w:footnote w:type="continuationSeparator" w:id="0">
    <w:p w14:paraId="42E0AE7F" w14:textId="77777777" w:rsidR="00D91BCB" w:rsidRDefault="00D91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FD9F1" w14:textId="77777777" w:rsidR="00C04E4A" w:rsidRDefault="00C04E4A" w:rsidP="00C04E4A">
    <w:pPr>
      <w:pBdr>
        <w:top w:val="nil"/>
        <w:left w:val="nil"/>
        <w:bottom w:val="single" w:sz="4" w:space="3" w:color="000000"/>
        <w:right w:val="nil"/>
        <w:between w:val="nil"/>
      </w:pBdr>
      <w:tabs>
        <w:tab w:val="center" w:pos="4320"/>
        <w:tab w:val="right" w:pos="8640"/>
        <w:tab w:val="left" w:pos="5532"/>
      </w:tabs>
      <w:rPr>
        <w:rFonts w:ascii="Formata OTF" w:eastAsia="Formata OTF" w:hAnsi="Formata OTF" w:cs="Formata OTF"/>
        <w:b/>
        <w:color w:val="000000"/>
        <w:sz w:val="20"/>
        <w:szCs w:val="20"/>
      </w:rPr>
    </w:pPr>
    <w:r>
      <w:rPr>
        <w:rFonts w:ascii="Formata OTF" w:eastAsia="Formata OTF" w:hAnsi="Formata OTF" w:cs="Formata OTF"/>
        <w:b/>
        <w:noProof/>
        <w:color w:val="000000"/>
        <w:sz w:val="20"/>
        <w:szCs w:val="20"/>
      </w:rPr>
      <mc:AlternateContent>
        <mc:Choice Requires="wps">
          <w:drawing>
            <wp:anchor distT="0" distB="0" distL="114300" distR="114300" simplePos="0" relativeHeight="251658240" behindDoc="0" locked="0" layoutInCell="1" allowOverlap="1" wp14:anchorId="458AF88B" wp14:editId="7F6DD12D">
              <wp:simplePos x="0" y="0"/>
              <wp:positionH relativeFrom="column">
                <wp:posOffset>0</wp:posOffset>
              </wp:positionH>
              <wp:positionV relativeFrom="paragraph">
                <wp:posOffset>0</wp:posOffset>
              </wp:positionV>
              <wp:extent cx="635000" cy="635000"/>
              <wp:effectExtent l="0" t="0" r="3175" b="3175"/>
              <wp:wrapNone/>
              <wp:docPr id="3" name="WordArt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E076603" id="_x0000_t202" coordsize="21600,21600" o:spt="202" path="m,l,21600r21600,l21600,xe">
              <v:stroke joinstyle="miter"/>
              <v:path gradientshapeok="t" o:connecttype="rect"/>
            </v:shapetype>
            <v:shape id="WordArt 1" o:spid="_x0000_s1026" type="#_x0000_t202"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Pr>
        <w:rFonts w:ascii="Formata OTF" w:eastAsia="Formata OTF" w:hAnsi="Formata OTF" w:cs="Formata OTF"/>
        <w:b/>
        <w:color w:val="000000"/>
        <w:sz w:val="20"/>
        <w:szCs w:val="20"/>
      </w:rPr>
      <w:t>International Journal of Advanced Health Science and Technology</w:t>
    </w:r>
  </w:p>
  <w:p w14:paraId="5E772ED0" w14:textId="314605AF" w:rsidR="000160D3" w:rsidRPr="00C04E4A" w:rsidRDefault="00C04E4A" w:rsidP="00C04E4A">
    <w:pPr>
      <w:pBdr>
        <w:top w:val="nil"/>
        <w:left w:val="nil"/>
        <w:bottom w:val="single" w:sz="4" w:space="3" w:color="000000"/>
        <w:right w:val="nil"/>
        <w:between w:val="nil"/>
      </w:pBdr>
      <w:tabs>
        <w:tab w:val="center" w:pos="4320"/>
        <w:tab w:val="right" w:pos="8640"/>
        <w:tab w:val="left" w:pos="5532"/>
      </w:tabs>
      <w:rPr>
        <w:rFonts w:ascii="Formata OTF" w:eastAsia="Formata OTF" w:hAnsi="Formata OTF" w:cs="Formata OTF"/>
        <w:b/>
        <w:color w:val="000000"/>
        <w:sz w:val="16"/>
        <w:szCs w:val="16"/>
      </w:rPr>
    </w:pPr>
    <w:proofErr w:type="gramStart"/>
    <w:r>
      <w:rPr>
        <w:rFonts w:ascii="Formata OTF" w:eastAsia="Formata OTF" w:hAnsi="Formata OTF" w:cs="Formata OTF"/>
        <w:b/>
        <w:color w:val="000000"/>
        <w:sz w:val="16"/>
        <w:szCs w:val="16"/>
      </w:rPr>
      <w:t xml:space="preserve">Multidisciplinary </w:t>
    </w:r>
    <w:r>
      <w:rPr>
        <w:rFonts w:ascii="Formata OTF" w:eastAsia="Formata OTF" w:hAnsi="Formata OTF" w:cs="Formata OTF"/>
        <w:b/>
        <w:color w:val="0070C0"/>
        <w:sz w:val="16"/>
        <w:szCs w:val="16"/>
      </w:rPr>
      <w:t>:</w:t>
    </w:r>
    <w:proofErr w:type="gramEnd"/>
    <w:r>
      <w:rPr>
        <w:rFonts w:ascii="Formata OTF" w:eastAsia="Formata OTF" w:hAnsi="Formata OTF" w:cs="Formata OTF"/>
        <w:b/>
        <w:color w:val="000000"/>
        <w:sz w:val="16"/>
        <w:szCs w:val="16"/>
      </w:rPr>
      <w:t xml:space="preserve"> Rapid Review </w:t>
    </w:r>
    <w:r>
      <w:rPr>
        <w:rFonts w:ascii="Formata OTF" w:eastAsia="Formata OTF" w:hAnsi="Formata OTF" w:cs="Formata OTF"/>
        <w:b/>
        <w:color w:val="0070C0"/>
        <w:sz w:val="16"/>
        <w:szCs w:val="16"/>
      </w:rPr>
      <w:t xml:space="preserve">: </w:t>
    </w:r>
    <w:r>
      <w:rPr>
        <w:rFonts w:ascii="Formata OTF" w:eastAsia="Formata OTF" w:hAnsi="Formata OTF" w:cs="Formata OTF"/>
        <w:b/>
        <w:color w:val="000000"/>
        <w:sz w:val="16"/>
        <w:szCs w:val="16"/>
      </w:rPr>
      <w:t>Open Access Journal                                                                                                              e-ISSN:2808-6422; p-ISSN:2829-3037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926C4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21A29C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F7ADCC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70A3A9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C47C0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9E6FFB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C9A5E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CE033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AE9E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1833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62F820A2"/>
    <w:lvl w:ilvl="0">
      <w:start w:val="1"/>
      <w:numFmt w:val="upperRoman"/>
      <w:lvlText w:val="%1."/>
      <w:legacy w:legacy="1" w:legacySpace="144" w:legacyIndent="144"/>
      <w:lvlJc w:val="left"/>
    </w:lvl>
    <w:lvl w:ilvl="1">
      <w:start w:val="1"/>
      <w:numFmt w:val="upperLetter"/>
      <w:lvlText w:val="%2."/>
      <w:legacy w:legacy="1" w:legacySpace="144" w:legacyIndent="144"/>
      <w:lvlJc w:val="left"/>
      <w:rPr>
        <w:b w:val="0"/>
      </w:rPr>
    </w:lvl>
    <w:lvl w:ilvl="2">
      <w:start w:val="1"/>
      <w:numFmt w:val="decimal"/>
      <w:lvlText w:val="%3)"/>
      <w:legacy w:legacy="1" w:legacySpace="144" w:legacyIndent="144"/>
      <w:lvlJc w:val="left"/>
      <w:rPr>
        <w:i/>
      </w:rPr>
    </w:lvl>
    <w:lvl w:ilvl="3">
      <w:start w:val="1"/>
      <w:numFmt w:val="lowerLetter"/>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1"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2" w15:restartNumberingAfterBreak="0">
    <w:nsid w:val="3A877D64"/>
    <w:multiLevelType w:val="singleLevel"/>
    <w:tmpl w:val="37E4B88C"/>
    <w:lvl w:ilvl="0">
      <w:start w:val="1"/>
      <w:numFmt w:val="decimal"/>
      <w:lvlText w:val="[%1]"/>
      <w:lvlJc w:val="left"/>
      <w:pPr>
        <w:tabs>
          <w:tab w:val="num" w:pos="1170"/>
        </w:tabs>
        <w:ind w:left="1170" w:hanging="360"/>
      </w:pPr>
      <w:rPr>
        <w:i w:val="0"/>
      </w:rPr>
    </w:lvl>
  </w:abstractNum>
  <w:abstractNum w:abstractNumId="13" w15:restartNumberingAfterBreak="0">
    <w:nsid w:val="428A6B79"/>
    <w:multiLevelType w:val="hybridMultilevel"/>
    <w:tmpl w:val="A73E72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52017CD"/>
    <w:multiLevelType w:val="hybridMultilevel"/>
    <w:tmpl w:val="A3F8D02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16" w15:restartNumberingAfterBreak="0">
    <w:nsid w:val="53051D1B"/>
    <w:multiLevelType w:val="hybridMultilevel"/>
    <w:tmpl w:val="910A92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3879202">
    <w:abstractNumId w:val="9"/>
  </w:num>
  <w:num w:numId="2" w16cid:durableId="1471239918">
    <w:abstractNumId w:val="7"/>
  </w:num>
  <w:num w:numId="3" w16cid:durableId="1338579233">
    <w:abstractNumId w:val="6"/>
  </w:num>
  <w:num w:numId="4" w16cid:durableId="987785077">
    <w:abstractNumId w:val="5"/>
  </w:num>
  <w:num w:numId="5" w16cid:durableId="2112165500">
    <w:abstractNumId w:val="4"/>
  </w:num>
  <w:num w:numId="6" w16cid:durableId="1716349920">
    <w:abstractNumId w:val="8"/>
  </w:num>
  <w:num w:numId="7" w16cid:durableId="525681909">
    <w:abstractNumId w:val="3"/>
  </w:num>
  <w:num w:numId="8" w16cid:durableId="2093770495">
    <w:abstractNumId w:val="2"/>
  </w:num>
  <w:num w:numId="9" w16cid:durableId="738677499">
    <w:abstractNumId w:val="1"/>
  </w:num>
  <w:num w:numId="10" w16cid:durableId="790438207">
    <w:abstractNumId w:val="0"/>
  </w:num>
  <w:num w:numId="11" w16cid:durableId="750155801">
    <w:abstractNumId w:val="10"/>
  </w:num>
  <w:num w:numId="12" w16cid:durableId="70011360">
    <w:abstractNumId w:val="15"/>
    <w:lvlOverride w:ilvl="0">
      <w:lvl w:ilvl="0">
        <w:start w:val="1"/>
        <w:numFmt w:val="decimal"/>
        <w:lvlText w:val="%1."/>
        <w:legacy w:legacy="1" w:legacySpace="0" w:legacyIndent="360"/>
        <w:lvlJc w:val="left"/>
        <w:pPr>
          <w:ind w:left="360" w:hanging="360"/>
        </w:pPr>
      </w:lvl>
    </w:lvlOverride>
  </w:num>
  <w:num w:numId="13" w16cid:durableId="168066103">
    <w:abstractNumId w:val="11"/>
  </w:num>
  <w:num w:numId="14" w16cid:durableId="693114280">
    <w:abstractNumId w:val="12"/>
  </w:num>
  <w:num w:numId="15" w16cid:durableId="1510678207">
    <w:abstractNumId w:val="12"/>
  </w:num>
  <w:num w:numId="16" w16cid:durableId="2034568938">
    <w:abstractNumId w:val="12"/>
  </w:num>
  <w:num w:numId="17" w16cid:durableId="19912071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234348">
    <w:abstractNumId w:val="16"/>
  </w:num>
  <w:num w:numId="19" w16cid:durableId="16344097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E0NjU0szQwNzOyMDdQ0lEKTi0uzszPAykwrQUAi0iY2CwAAAA="/>
  </w:docVars>
  <w:rsids>
    <w:rsidRoot w:val="00EA5D2D"/>
    <w:rsid w:val="0000046F"/>
    <w:rsid w:val="000005DE"/>
    <w:rsid w:val="000137F7"/>
    <w:rsid w:val="00015E73"/>
    <w:rsid w:val="00015E9A"/>
    <w:rsid w:val="000160D3"/>
    <w:rsid w:val="0001799E"/>
    <w:rsid w:val="00017C56"/>
    <w:rsid w:val="00021C67"/>
    <w:rsid w:val="000221E9"/>
    <w:rsid w:val="00023D75"/>
    <w:rsid w:val="00024A01"/>
    <w:rsid w:val="00027AA1"/>
    <w:rsid w:val="0003253A"/>
    <w:rsid w:val="00033D56"/>
    <w:rsid w:val="00034A7F"/>
    <w:rsid w:val="00035315"/>
    <w:rsid w:val="000357B3"/>
    <w:rsid w:val="00041819"/>
    <w:rsid w:val="00043A88"/>
    <w:rsid w:val="000518DD"/>
    <w:rsid w:val="00052666"/>
    <w:rsid w:val="00052968"/>
    <w:rsid w:val="0005382D"/>
    <w:rsid w:val="00057E9A"/>
    <w:rsid w:val="00060D60"/>
    <w:rsid w:val="00061511"/>
    <w:rsid w:val="00061B24"/>
    <w:rsid w:val="000652F8"/>
    <w:rsid w:val="00065CD5"/>
    <w:rsid w:val="00065F3C"/>
    <w:rsid w:val="00070BCE"/>
    <w:rsid w:val="000714C3"/>
    <w:rsid w:val="00081D12"/>
    <w:rsid w:val="00082E72"/>
    <w:rsid w:val="00083EC4"/>
    <w:rsid w:val="00084BD2"/>
    <w:rsid w:val="00090E84"/>
    <w:rsid w:val="00091F92"/>
    <w:rsid w:val="00092C74"/>
    <w:rsid w:val="00094BAA"/>
    <w:rsid w:val="00097605"/>
    <w:rsid w:val="000A1FA2"/>
    <w:rsid w:val="000A3B16"/>
    <w:rsid w:val="000A40E6"/>
    <w:rsid w:val="000B223C"/>
    <w:rsid w:val="000B2C18"/>
    <w:rsid w:val="000B330B"/>
    <w:rsid w:val="000B7135"/>
    <w:rsid w:val="000C01F4"/>
    <w:rsid w:val="000C0E3B"/>
    <w:rsid w:val="000C221B"/>
    <w:rsid w:val="000C7075"/>
    <w:rsid w:val="000D15D6"/>
    <w:rsid w:val="000D3A5A"/>
    <w:rsid w:val="000D4A20"/>
    <w:rsid w:val="000D596A"/>
    <w:rsid w:val="000E4447"/>
    <w:rsid w:val="000F0823"/>
    <w:rsid w:val="000F25D7"/>
    <w:rsid w:val="0010090B"/>
    <w:rsid w:val="00104663"/>
    <w:rsid w:val="00104CB0"/>
    <w:rsid w:val="00105925"/>
    <w:rsid w:val="00107070"/>
    <w:rsid w:val="001072E6"/>
    <w:rsid w:val="001107A2"/>
    <w:rsid w:val="001120C4"/>
    <w:rsid w:val="0011425D"/>
    <w:rsid w:val="001146BF"/>
    <w:rsid w:val="0011479C"/>
    <w:rsid w:val="00114A56"/>
    <w:rsid w:val="00117D9A"/>
    <w:rsid w:val="00121E38"/>
    <w:rsid w:val="00132C0C"/>
    <w:rsid w:val="00134A06"/>
    <w:rsid w:val="0014000F"/>
    <w:rsid w:val="00141D98"/>
    <w:rsid w:val="00146F1B"/>
    <w:rsid w:val="0016308D"/>
    <w:rsid w:val="0016327B"/>
    <w:rsid w:val="00164873"/>
    <w:rsid w:val="001661D9"/>
    <w:rsid w:val="00166BEA"/>
    <w:rsid w:val="001676A7"/>
    <w:rsid w:val="00170818"/>
    <w:rsid w:val="0017288F"/>
    <w:rsid w:val="00174020"/>
    <w:rsid w:val="00176753"/>
    <w:rsid w:val="001777E5"/>
    <w:rsid w:val="00182839"/>
    <w:rsid w:val="00192079"/>
    <w:rsid w:val="0019262C"/>
    <w:rsid w:val="001955E9"/>
    <w:rsid w:val="001A7827"/>
    <w:rsid w:val="001B1B9C"/>
    <w:rsid w:val="001B2F14"/>
    <w:rsid w:val="001B4688"/>
    <w:rsid w:val="001C2E5E"/>
    <w:rsid w:val="001C597C"/>
    <w:rsid w:val="001D0247"/>
    <w:rsid w:val="001D3924"/>
    <w:rsid w:val="001D3AED"/>
    <w:rsid w:val="001D4C0D"/>
    <w:rsid w:val="001D5163"/>
    <w:rsid w:val="001D5407"/>
    <w:rsid w:val="001D6F48"/>
    <w:rsid w:val="001E3E87"/>
    <w:rsid w:val="001E4698"/>
    <w:rsid w:val="001E69B5"/>
    <w:rsid w:val="001E6A66"/>
    <w:rsid w:val="001E6CFA"/>
    <w:rsid w:val="001F0601"/>
    <w:rsid w:val="001F4FA0"/>
    <w:rsid w:val="001F73C8"/>
    <w:rsid w:val="00201A76"/>
    <w:rsid w:val="00205C43"/>
    <w:rsid w:val="00205F80"/>
    <w:rsid w:val="00207411"/>
    <w:rsid w:val="00210398"/>
    <w:rsid w:val="00210E41"/>
    <w:rsid w:val="00211824"/>
    <w:rsid w:val="00215F8D"/>
    <w:rsid w:val="002170E6"/>
    <w:rsid w:val="00220965"/>
    <w:rsid w:val="00223B9B"/>
    <w:rsid w:val="00227DAA"/>
    <w:rsid w:val="00231E14"/>
    <w:rsid w:val="00241628"/>
    <w:rsid w:val="00242C14"/>
    <w:rsid w:val="002467D5"/>
    <w:rsid w:val="00252416"/>
    <w:rsid w:val="0025322E"/>
    <w:rsid w:val="00253CFC"/>
    <w:rsid w:val="002560D8"/>
    <w:rsid w:val="00263886"/>
    <w:rsid w:val="00275282"/>
    <w:rsid w:val="00280E0D"/>
    <w:rsid w:val="0028173D"/>
    <w:rsid w:val="0028303E"/>
    <w:rsid w:val="00285B40"/>
    <w:rsid w:val="00285DD4"/>
    <w:rsid w:val="00291BD5"/>
    <w:rsid w:val="00295093"/>
    <w:rsid w:val="002954E5"/>
    <w:rsid w:val="002967D4"/>
    <w:rsid w:val="002A000F"/>
    <w:rsid w:val="002A048A"/>
    <w:rsid w:val="002A14BA"/>
    <w:rsid w:val="002A3234"/>
    <w:rsid w:val="002A486E"/>
    <w:rsid w:val="002B17AE"/>
    <w:rsid w:val="002B2B14"/>
    <w:rsid w:val="002B379B"/>
    <w:rsid w:val="002B5DFD"/>
    <w:rsid w:val="002B62BC"/>
    <w:rsid w:val="002B7F19"/>
    <w:rsid w:val="002C2CCF"/>
    <w:rsid w:val="002C419A"/>
    <w:rsid w:val="002C707C"/>
    <w:rsid w:val="002D11FD"/>
    <w:rsid w:val="002D26B0"/>
    <w:rsid w:val="002D3E91"/>
    <w:rsid w:val="002D4A44"/>
    <w:rsid w:val="002E02B1"/>
    <w:rsid w:val="002E396B"/>
    <w:rsid w:val="002E3D2C"/>
    <w:rsid w:val="002F07EC"/>
    <w:rsid w:val="002F1879"/>
    <w:rsid w:val="002F1D45"/>
    <w:rsid w:val="002F3420"/>
    <w:rsid w:val="002F63A1"/>
    <w:rsid w:val="00303ACB"/>
    <w:rsid w:val="00304392"/>
    <w:rsid w:val="00307D29"/>
    <w:rsid w:val="00313105"/>
    <w:rsid w:val="003141B6"/>
    <w:rsid w:val="00321775"/>
    <w:rsid w:val="00321EB5"/>
    <w:rsid w:val="00322DAA"/>
    <w:rsid w:val="00323E56"/>
    <w:rsid w:val="00324089"/>
    <w:rsid w:val="00327067"/>
    <w:rsid w:val="00327078"/>
    <w:rsid w:val="00330A48"/>
    <w:rsid w:val="0034044A"/>
    <w:rsid w:val="0034128C"/>
    <w:rsid w:val="003415A6"/>
    <w:rsid w:val="00344CE5"/>
    <w:rsid w:val="003504E9"/>
    <w:rsid w:val="003519F1"/>
    <w:rsid w:val="00351EDC"/>
    <w:rsid w:val="003520A4"/>
    <w:rsid w:val="00353818"/>
    <w:rsid w:val="00355460"/>
    <w:rsid w:val="0035702D"/>
    <w:rsid w:val="00360535"/>
    <w:rsid w:val="003628EB"/>
    <w:rsid w:val="00363602"/>
    <w:rsid w:val="003639EB"/>
    <w:rsid w:val="00364197"/>
    <w:rsid w:val="00373C08"/>
    <w:rsid w:val="003756EB"/>
    <w:rsid w:val="003763CB"/>
    <w:rsid w:val="00380D62"/>
    <w:rsid w:val="00381001"/>
    <w:rsid w:val="0038145D"/>
    <w:rsid w:val="00382E5B"/>
    <w:rsid w:val="00383853"/>
    <w:rsid w:val="00384980"/>
    <w:rsid w:val="003874CB"/>
    <w:rsid w:val="00391E44"/>
    <w:rsid w:val="00393CE8"/>
    <w:rsid w:val="003940D4"/>
    <w:rsid w:val="003A0AEE"/>
    <w:rsid w:val="003A7420"/>
    <w:rsid w:val="003A75E8"/>
    <w:rsid w:val="003B2723"/>
    <w:rsid w:val="003B3FFE"/>
    <w:rsid w:val="003C1744"/>
    <w:rsid w:val="003C615D"/>
    <w:rsid w:val="003D112E"/>
    <w:rsid w:val="003D12A0"/>
    <w:rsid w:val="003D1A98"/>
    <w:rsid w:val="003D3FE2"/>
    <w:rsid w:val="003D4E93"/>
    <w:rsid w:val="003D640F"/>
    <w:rsid w:val="003D7316"/>
    <w:rsid w:val="003E17F3"/>
    <w:rsid w:val="003F7D7E"/>
    <w:rsid w:val="00402953"/>
    <w:rsid w:val="00410A00"/>
    <w:rsid w:val="00410C68"/>
    <w:rsid w:val="0041108E"/>
    <w:rsid w:val="004127AE"/>
    <w:rsid w:val="0041399D"/>
    <w:rsid w:val="00417315"/>
    <w:rsid w:val="00420CA6"/>
    <w:rsid w:val="00422716"/>
    <w:rsid w:val="004423FC"/>
    <w:rsid w:val="0044242A"/>
    <w:rsid w:val="00442439"/>
    <w:rsid w:val="00444E10"/>
    <w:rsid w:val="004462AC"/>
    <w:rsid w:val="0044635D"/>
    <w:rsid w:val="00446720"/>
    <w:rsid w:val="00451137"/>
    <w:rsid w:val="00456276"/>
    <w:rsid w:val="004570C8"/>
    <w:rsid w:val="00457310"/>
    <w:rsid w:val="0045757E"/>
    <w:rsid w:val="00460B55"/>
    <w:rsid w:val="00460D49"/>
    <w:rsid w:val="004642B5"/>
    <w:rsid w:val="00465AB7"/>
    <w:rsid w:val="00465CAE"/>
    <w:rsid w:val="004702C9"/>
    <w:rsid w:val="004772EC"/>
    <w:rsid w:val="00477BF4"/>
    <w:rsid w:val="00482836"/>
    <w:rsid w:val="00483326"/>
    <w:rsid w:val="00486D54"/>
    <w:rsid w:val="00486E60"/>
    <w:rsid w:val="00490E0E"/>
    <w:rsid w:val="00491213"/>
    <w:rsid w:val="00491ACE"/>
    <w:rsid w:val="00493B58"/>
    <w:rsid w:val="0049433A"/>
    <w:rsid w:val="004949B8"/>
    <w:rsid w:val="004A0234"/>
    <w:rsid w:val="004A11FE"/>
    <w:rsid w:val="004A4CB8"/>
    <w:rsid w:val="004A6349"/>
    <w:rsid w:val="004A7ADD"/>
    <w:rsid w:val="004B30CA"/>
    <w:rsid w:val="004C23B8"/>
    <w:rsid w:val="004C41FA"/>
    <w:rsid w:val="004C6BFB"/>
    <w:rsid w:val="004D0892"/>
    <w:rsid w:val="004D0B9B"/>
    <w:rsid w:val="004D67B3"/>
    <w:rsid w:val="004F105E"/>
    <w:rsid w:val="004F2C2F"/>
    <w:rsid w:val="004F7211"/>
    <w:rsid w:val="004F7B54"/>
    <w:rsid w:val="00500D8B"/>
    <w:rsid w:val="00504A78"/>
    <w:rsid w:val="00505244"/>
    <w:rsid w:val="00506758"/>
    <w:rsid w:val="00510D59"/>
    <w:rsid w:val="005144BA"/>
    <w:rsid w:val="005151B5"/>
    <w:rsid w:val="00517856"/>
    <w:rsid w:val="005206B2"/>
    <w:rsid w:val="00523407"/>
    <w:rsid w:val="00523A05"/>
    <w:rsid w:val="00525891"/>
    <w:rsid w:val="00527F31"/>
    <w:rsid w:val="0053363E"/>
    <w:rsid w:val="005336C5"/>
    <w:rsid w:val="00540BCE"/>
    <w:rsid w:val="005412E5"/>
    <w:rsid w:val="00541F28"/>
    <w:rsid w:val="0054241F"/>
    <w:rsid w:val="0054746D"/>
    <w:rsid w:val="00555F01"/>
    <w:rsid w:val="0055767F"/>
    <w:rsid w:val="00564E0C"/>
    <w:rsid w:val="00566CE5"/>
    <w:rsid w:val="005722AA"/>
    <w:rsid w:val="005762F3"/>
    <w:rsid w:val="00577FB4"/>
    <w:rsid w:val="00581E03"/>
    <w:rsid w:val="00583985"/>
    <w:rsid w:val="005842B4"/>
    <w:rsid w:val="00587CF1"/>
    <w:rsid w:val="0059062E"/>
    <w:rsid w:val="00593176"/>
    <w:rsid w:val="00594006"/>
    <w:rsid w:val="005943B5"/>
    <w:rsid w:val="00594D78"/>
    <w:rsid w:val="00594F41"/>
    <w:rsid w:val="00596126"/>
    <w:rsid w:val="005A11DA"/>
    <w:rsid w:val="005A4A74"/>
    <w:rsid w:val="005A59C2"/>
    <w:rsid w:val="005A5B4F"/>
    <w:rsid w:val="005A6FCB"/>
    <w:rsid w:val="005A7F6C"/>
    <w:rsid w:val="005B16F4"/>
    <w:rsid w:val="005B186D"/>
    <w:rsid w:val="005B3311"/>
    <w:rsid w:val="005B62EC"/>
    <w:rsid w:val="005C047E"/>
    <w:rsid w:val="005C11FA"/>
    <w:rsid w:val="005C261D"/>
    <w:rsid w:val="005C3781"/>
    <w:rsid w:val="005C3955"/>
    <w:rsid w:val="005C3B7E"/>
    <w:rsid w:val="005C6411"/>
    <w:rsid w:val="005D0EDF"/>
    <w:rsid w:val="005D3ACC"/>
    <w:rsid w:val="005D6C52"/>
    <w:rsid w:val="005D7A62"/>
    <w:rsid w:val="005E0BAE"/>
    <w:rsid w:val="005E0E65"/>
    <w:rsid w:val="005E1970"/>
    <w:rsid w:val="005E36FF"/>
    <w:rsid w:val="005E5941"/>
    <w:rsid w:val="005F36BF"/>
    <w:rsid w:val="005F7D12"/>
    <w:rsid w:val="006030B3"/>
    <w:rsid w:val="00604D84"/>
    <w:rsid w:val="00607722"/>
    <w:rsid w:val="00614092"/>
    <w:rsid w:val="0062116B"/>
    <w:rsid w:val="00621495"/>
    <w:rsid w:val="00622CC0"/>
    <w:rsid w:val="0062439C"/>
    <w:rsid w:val="0062501A"/>
    <w:rsid w:val="006259D1"/>
    <w:rsid w:val="0063180F"/>
    <w:rsid w:val="00631923"/>
    <w:rsid w:val="00632C12"/>
    <w:rsid w:val="0064321C"/>
    <w:rsid w:val="00647B74"/>
    <w:rsid w:val="00650847"/>
    <w:rsid w:val="00650AC5"/>
    <w:rsid w:val="00652438"/>
    <w:rsid w:val="00653552"/>
    <w:rsid w:val="00654C7D"/>
    <w:rsid w:val="0065507F"/>
    <w:rsid w:val="0065710F"/>
    <w:rsid w:val="00660B10"/>
    <w:rsid w:val="00663B0C"/>
    <w:rsid w:val="00670377"/>
    <w:rsid w:val="006772E7"/>
    <w:rsid w:val="006775DE"/>
    <w:rsid w:val="00680E60"/>
    <w:rsid w:val="00686C80"/>
    <w:rsid w:val="00687034"/>
    <w:rsid w:val="006873AA"/>
    <w:rsid w:val="006874AA"/>
    <w:rsid w:val="006920B0"/>
    <w:rsid w:val="00692183"/>
    <w:rsid w:val="006932A5"/>
    <w:rsid w:val="006934C7"/>
    <w:rsid w:val="0069405D"/>
    <w:rsid w:val="006A0B53"/>
    <w:rsid w:val="006A190F"/>
    <w:rsid w:val="006A3523"/>
    <w:rsid w:val="006B0525"/>
    <w:rsid w:val="006B1CDB"/>
    <w:rsid w:val="006B24AE"/>
    <w:rsid w:val="006B6C9F"/>
    <w:rsid w:val="006C2A2F"/>
    <w:rsid w:val="006C599B"/>
    <w:rsid w:val="006C7956"/>
    <w:rsid w:val="006D02FC"/>
    <w:rsid w:val="006D096B"/>
    <w:rsid w:val="006D2F5B"/>
    <w:rsid w:val="006D446E"/>
    <w:rsid w:val="006D4A1A"/>
    <w:rsid w:val="006D5DD4"/>
    <w:rsid w:val="006D6A18"/>
    <w:rsid w:val="006D6BB5"/>
    <w:rsid w:val="006D7BFC"/>
    <w:rsid w:val="006E5822"/>
    <w:rsid w:val="006F6F42"/>
    <w:rsid w:val="006F770B"/>
    <w:rsid w:val="0070502C"/>
    <w:rsid w:val="007074FD"/>
    <w:rsid w:val="0070798C"/>
    <w:rsid w:val="00720592"/>
    <w:rsid w:val="00721E50"/>
    <w:rsid w:val="00722FB0"/>
    <w:rsid w:val="00723860"/>
    <w:rsid w:val="007268F5"/>
    <w:rsid w:val="00731792"/>
    <w:rsid w:val="00732067"/>
    <w:rsid w:val="0074666A"/>
    <w:rsid w:val="007514EA"/>
    <w:rsid w:val="00754771"/>
    <w:rsid w:val="007573E5"/>
    <w:rsid w:val="00765478"/>
    <w:rsid w:val="00765EFC"/>
    <w:rsid w:val="00766319"/>
    <w:rsid w:val="00767D54"/>
    <w:rsid w:val="00777554"/>
    <w:rsid w:val="00777FC6"/>
    <w:rsid w:val="0078331C"/>
    <w:rsid w:val="00785008"/>
    <w:rsid w:val="00786FBC"/>
    <w:rsid w:val="007908A3"/>
    <w:rsid w:val="00791AA8"/>
    <w:rsid w:val="00791FC4"/>
    <w:rsid w:val="00795E68"/>
    <w:rsid w:val="00796645"/>
    <w:rsid w:val="00797D6C"/>
    <w:rsid w:val="007A1AE0"/>
    <w:rsid w:val="007A3BCE"/>
    <w:rsid w:val="007B0961"/>
    <w:rsid w:val="007B3FA0"/>
    <w:rsid w:val="007B42EE"/>
    <w:rsid w:val="007C6BED"/>
    <w:rsid w:val="007D55B1"/>
    <w:rsid w:val="007D57A8"/>
    <w:rsid w:val="007E0556"/>
    <w:rsid w:val="007E44F5"/>
    <w:rsid w:val="007F0C04"/>
    <w:rsid w:val="007F2F1F"/>
    <w:rsid w:val="007F4EC6"/>
    <w:rsid w:val="007F7FD1"/>
    <w:rsid w:val="0080221D"/>
    <w:rsid w:val="00802FF6"/>
    <w:rsid w:val="00803F2B"/>
    <w:rsid w:val="008053A6"/>
    <w:rsid w:val="00805B41"/>
    <w:rsid w:val="008105D3"/>
    <w:rsid w:val="00814D2E"/>
    <w:rsid w:val="008158A3"/>
    <w:rsid w:val="008166F7"/>
    <w:rsid w:val="008208C7"/>
    <w:rsid w:val="00825012"/>
    <w:rsid w:val="008304D8"/>
    <w:rsid w:val="008310FF"/>
    <w:rsid w:val="00833C2D"/>
    <w:rsid w:val="00842CBB"/>
    <w:rsid w:val="00843BFC"/>
    <w:rsid w:val="0084556B"/>
    <w:rsid w:val="0084716E"/>
    <w:rsid w:val="00853F30"/>
    <w:rsid w:val="008540B3"/>
    <w:rsid w:val="0085574D"/>
    <w:rsid w:val="00855E21"/>
    <w:rsid w:val="00856CFF"/>
    <w:rsid w:val="0086016B"/>
    <w:rsid w:val="00860963"/>
    <w:rsid w:val="008612B0"/>
    <w:rsid w:val="00864000"/>
    <w:rsid w:val="00865D5B"/>
    <w:rsid w:val="0086672D"/>
    <w:rsid w:val="008773E5"/>
    <w:rsid w:val="00881AEC"/>
    <w:rsid w:val="00884CEC"/>
    <w:rsid w:val="00887BB0"/>
    <w:rsid w:val="0089022F"/>
    <w:rsid w:val="008A05F2"/>
    <w:rsid w:val="008A240F"/>
    <w:rsid w:val="008B116A"/>
    <w:rsid w:val="008B46A7"/>
    <w:rsid w:val="008B5F7B"/>
    <w:rsid w:val="008B67BD"/>
    <w:rsid w:val="008B7348"/>
    <w:rsid w:val="008C075C"/>
    <w:rsid w:val="008C093B"/>
    <w:rsid w:val="008C5AA7"/>
    <w:rsid w:val="008C6D05"/>
    <w:rsid w:val="008D1510"/>
    <w:rsid w:val="008D384B"/>
    <w:rsid w:val="008D3922"/>
    <w:rsid w:val="008D44E3"/>
    <w:rsid w:val="008D4E58"/>
    <w:rsid w:val="008D7A2F"/>
    <w:rsid w:val="008E2ED6"/>
    <w:rsid w:val="008E4786"/>
    <w:rsid w:val="008E549B"/>
    <w:rsid w:val="008E5D55"/>
    <w:rsid w:val="008F26AD"/>
    <w:rsid w:val="008F2FB3"/>
    <w:rsid w:val="008F46EE"/>
    <w:rsid w:val="008F78D5"/>
    <w:rsid w:val="009013C3"/>
    <w:rsid w:val="00902F55"/>
    <w:rsid w:val="0090470C"/>
    <w:rsid w:val="00906198"/>
    <w:rsid w:val="009116D8"/>
    <w:rsid w:val="00911CA6"/>
    <w:rsid w:val="0091745E"/>
    <w:rsid w:val="00920859"/>
    <w:rsid w:val="00921B57"/>
    <w:rsid w:val="009233F5"/>
    <w:rsid w:val="00924819"/>
    <w:rsid w:val="00926D5C"/>
    <w:rsid w:val="00932C45"/>
    <w:rsid w:val="009360D1"/>
    <w:rsid w:val="009364DE"/>
    <w:rsid w:val="00947BF1"/>
    <w:rsid w:val="00950F2C"/>
    <w:rsid w:val="00951277"/>
    <w:rsid w:val="009512A7"/>
    <w:rsid w:val="009543EE"/>
    <w:rsid w:val="009569D6"/>
    <w:rsid w:val="009702DE"/>
    <w:rsid w:val="00970CAC"/>
    <w:rsid w:val="00971B64"/>
    <w:rsid w:val="00973331"/>
    <w:rsid w:val="00976266"/>
    <w:rsid w:val="00977BEF"/>
    <w:rsid w:val="0098218D"/>
    <w:rsid w:val="00990E54"/>
    <w:rsid w:val="009A239C"/>
    <w:rsid w:val="009A3976"/>
    <w:rsid w:val="009A3AAF"/>
    <w:rsid w:val="009A3EAE"/>
    <w:rsid w:val="009A4956"/>
    <w:rsid w:val="009A6156"/>
    <w:rsid w:val="009A7747"/>
    <w:rsid w:val="009A7DCC"/>
    <w:rsid w:val="009B0652"/>
    <w:rsid w:val="009B21F1"/>
    <w:rsid w:val="009B23BA"/>
    <w:rsid w:val="009B271F"/>
    <w:rsid w:val="009B2AEC"/>
    <w:rsid w:val="009B2C68"/>
    <w:rsid w:val="009B6ADC"/>
    <w:rsid w:val="009C4DE4"/>
    <w:rsid w:val="009D219C"/>
    <w:rsid w:val="009D2CDF"/>
    <w:rsid w:val="009D72AA"/>
    <w:rsid w:val="009E393C"/>
    <w:rsid w:val="009E58BB"/>
    <w:rsid w:val="009E6008"/>
    <w:rsid w:val="009E6385"/>
    <w:rsid w:val="009F0268"/>
    <w:rsid w:val="009F4313"/>
    <w:rsid w:val="009F494B"/>
    <w:rsid w:val="00A009EA"/>
    <w:rsid w:val="00A07761"/>
    <w:rsid w:val="00A11181"/>
    <w:rsid w:val="00A12D02"/>
    <w:rsid w:val="00A139C5"/>
    <w:rsid w:val="00A17980"/>
    <w:rsid w:val="00A21E33"/>
    <w:rsid w:val="00A21E81"/>
    <w:rsid w:val="00A25047"/>
    <w:rsid w:val="00A30934"/>
    <w:rsid w:val="00A31870"/>
    <w:rsid w:val="00A33184"/>
    <w:rsid w:val="00A36342"/>
    <w:rsid w:val="00A42896"/>
    <w:rsid w:val="00A43179"/>
    <w:rsid w:val="00A4771A"/>
    <w:rsid w:val="00A50D78"/>
    <w:rsid w:val="00A518B3"/>
    <w:rsid w:val="00A51F17"/>
    <w:rsid w:val="00A52005"/>
    <w:rsid w:val="00A53223"/>
    <w:rsid w:val="00A57BE7"/>
    <w:rsid w:val="00A6563F"/>
    <w:rsid w:val="00A67F48"/>
    <w:rsid w:val="00A704D5"/>
    <w:rsid w:val="00A70752"/>
    <w:rsid w:val="00A72951"/>
    <w:rsid w:val="00A73E36"/>
    <w:rsid w:val="00A7774E"/>
    <w:rsid w:val="00A86C97"/>
    <w:rsid w:val="00A86DE0"/>
    <w:rsid w:val="00A86E28"/>
    <w:rsid w:val="00A92AC5"/>
    <w:rsid w:val="00A93E28"/>
    <w:rsid w:val="00AA701D"/>
    <w:rsid w:val="00AB4207"/>
    <w:rsid w:val="00AB62BE"/>
    <w:rsid w:val="00AD0FD6"/>
    <w:rsid w:val="00AD17EC"/>
    <w:rsid w:val="00AD1CAA"/>
    <w:rsid w:val="00AD7994"/>
    <w:rsid w:val="00AE31C7"/>
    <w:rsid w:val="00AE3911"/>
    <w:rsid w:val="00AE5359"/>
    <w:rsid w:val="00AE709A"/>
    <w:rsid w:val="00AF7E75"/>
    <w:rsid w:val="00B00868"/>
    <w:rsid w:val="00B06847"/>
    <w:rsid w:val="00B07042"/>
    <w:rsid w:val="00B071FD"/>
    <w:rsid w:val="00B159DB"/>
    <w:rsid w:val="00B24F0E"/>
    <w:rsid w:val="00B40077"/>
    <w:rsid w:val="00B42160"/>
    <w:rsid w:val="00B45A43"/>
    <w:rsid w:val="00B45D4C"/>
    <w:rsid w:val="00B45FEF"/>
    <w:rsid w:val="00B53540"/>
    <w:rsid w:val="00B5501D"/>
    <w:rsid w:val="00B61668"/>
    <w:rsid w:val="00B70AB8"/>
    <w:rsid w:val="00B7110A"/>
    <w:rsid w:val="00B73845"/>
    <w:rsid w:val="00B76BA6"/>
    <w:rsid w:val="00B76BE5"/>
    <w:rsid w:val="00B82E15"/>
    <w:rsid w:val="00B85469"/>
    <w:rsid w:val="00B902AE"/>
    <w:rsid w:val="00B9337F"/>
    <w:rsid w:val="00B94BF5"/>
    <w:rsid w:val="00B958C0"/>
    <w:rsid w:val="00B979BB"/>
    <w:rsid w:val="00B97F8D"/>
    <w:rsid w:val="00BA0D9F"/>
    <w:rsid w:val="00BA0E4E"/>
    <w:rsid w:val="00BA73A7"/>
    <w:rsid w:val="00BA7B2F"/>
    <w:rsid w:val="00BB4689"/>
    <w:rsid w:val="00BB5D21"/>
    <w:rsid w:val="00BB6C89"/>
    <w:rsid w:val="00BC1036"/>
    <w:rsid w:val="00BC2D8F"/>
    <w:rsid w:val="00BC4302"/>
    <w:rsid w:val="00BD13D0"/>
    <w:rsid w:val="00BD2E2F"/>
    <w:rsid w:val="00BD6B49"/>
    <w:rsid w:val="00BD7313"/>
    <w:rsid w:val="00BE0B38"/>
    <w:rsid w:val="00BE4777"/>
    <w:rsid w:val="00BF47AC"/>
    <w:rsid w:val="00C017C5"/>
    <w:rsid w:val="00C02BA6"/>
    <w:rsid w:val="00C03393"/>
    <w:rsid w:val="00C04E4A"/>
    <w:rsid w:val="00C061C7"/>
    <w:rsid w:val="00C07BF5"/>
    <w:rsid w:val="00C07C7D"/>
    <w:rsid w:val="00C1435D"/>
    <w:rsid w:val="00C162ED"/>
    <w:rsid w:val="00C202C1"/>
    <w:rsid w:val="00C2639C"/>
    <w:rsid w:val="00C263CC"/>
    <w:rsid w:val="00C27331"/>
    <w:rsid w:val="00C27DF3"/>
    <w:rsid w:val="00C34A5B"/>
    <w:rsid w:val="00C36E6D"/>
    <w:rsid w:val="00C3787E"/>
    <w:rsid w:val="00C42011"/>
    <w:rsid w:val="00C42BCF"/>
    <w:rsid w:val="00C4585E"/>
    <w:rsid w:val="00C45E9C"/>
    <w:rsid w:val="00C4774B"/>
    <w:rsid w:val="00C52B44"/>
    <w:rsid w:val="00C557BA"/>
    <w:rsid w:val="00C55C70"/>
    <w:rsid w:val="00C56EF3"/>
    <w:rsid w:val="00C57B14"/>
    <w:rsid w:val="00C65B54"/>
    <w:rsid w:val="00C74121"/>
    <w:rsid w:val="00C74475"/>
    <w:rsid w:val="00C74538"/>
    <w:rsid w:val="00C74BFC"/>
    <w:rsid w:val="00C74C7A"/>
    <w:rsid w:val="00C8361D"/>
    <w:rsid w:val="00C868DA"/>
    <w:rsid w:val="00C93054"/>
    <w:rsid w:val="00C95A94"/>
    <w:rsid w:val="00CA0618"/>
    <w:rsid w:val="00CA2547"/>
    <w:rsid w:val="00CA2EC3"/>
    <w:rsid w:val="00CA4724"/>
    <w:rsid w:val="00CB00BE"/>
    <w:rsid w:val="00CB13E7"/>
    <w:rsid w:val="00CB191E"/>
    <w:rsid w:val="00CB1F92"/>
    <w:rsid w:val="00CB2604"/>
    <w:rsid w:val="00CB3F7E"/>
    <w:rsid w:val="00CB7E0F"/>
    <w:rsid w:val="00CC06D9"/>
    <w:rsid w:val="00CC32B5"/>
    <w:rsid w:val="00CC401E"/>
    <w:rsid w:val="00CD157E"/>
    <w:rsid w:val="00CD2415"/>
    <w:rsid w:val="00CD2980"/>
    <w:rsid w:val="00CD2DF0"/>
    <w:rsid w:val="00CD3789"/>
    <w:rsid w:val="00CD4F00"/>
    <w:rsid w:val="00CD66CD"/>
    <w:rsid w:val="00CD6C55"/>
    <w:rsid w:val="00CE1988"/>
    <w:rsid w:val="00CE3A39"/>
    <w:rsid w:val="00CE5F46"/>
    <w:rsid w:val="00CE715D"/>
    <w:rsid w:val="00CF1C08"/>
    <w:rsid w:val="00CF61B0"/>
    <w:rsid w:val="00CF6965"/>
    <w:rsid w:val="00CF6EC5"/>
    <w:rsid w:val="00D0074A"/>
    <w:rsid w:val="00D01A21"/>
    <w:rsid w:val="00D02B6A"/>
    <w:rsid w:val="00D04273"/>
    <w:rsid w:val="00D06451"/>
    <w:rsid w:val="00D10464"/>
    <w:rsid w:val="00D11438"/>
    <w:rsid w:val="00D11F00"/>
    <w:rsid w:val="00D11FD0"/>
    <w:rsid w:val="00D1286E"/>
    <w:rsid w:val="00D14AAD"/>
    <w:rsid w:val="00D210E0"/>
    <w:rsid w:val="00D26E50"/>
    <w:rsid w:val="00D30B3E"/>
    <w:rsid w:val="00D321C7"/>
    <w:rsid w:val="00D41CF4"/>
    <w:rsid w:val="00D44556"/>
    <w:rsid w:val="00D45F11"/>
    <w:rsid w:val="00D45F7B"/>
    <w:rsid w:val="00D5185A"/>
    <w:rsid w:val="00D518FB"/>
    <w:rsid w:val="00D54DB4"/>
    <w:rsid w:val="00D56750"/>
    <w:rsid w:val="00D60977"/>
    <w:rsid w:val="00D623F3"/>
    <w:rsid w:val="00D62A61"/>
    <w:rsid w:val="00D721CB"/>
    <w:rsid w:val="00D72322"/>
    <w:rsid w:val="00D729EE"/>
    <w:rsid w:val="00D739D3"/>
    <w:rsid w:val="00D73BF5"/>
    <w:rsid w:val="00D73E04"/>
    <w:rsid w:val="00D77E8F"/>
    <w:rsid w:val="00D81728"/>
    <w:rsid w:val="00D81868"/>
    <w:rsid w:val="00D828C6"/>
    <w:rsid w:val="00D8425E"/>
    <w:rsid w:val="00D91BCB"/>
    <w:rsid w:val="00D91FF4"/>
    <w:rsid w:val="00D95FC4"/>
    <w:rsid w:val="00D965FD"/>
    <w:rsid w:val="00D96DFE"/>
    <w:rsid w:val="00DB0143"/>
    <w:rsid w:val="00DB7966"/>
    <w:rsid w:val="00DC0A10"/>
    <w:rsid w:val="00DC0E96"/>
    <w:rsid w:val="00DC59D1"/>
    <w:rsid w:val="00DC7D0F"/>
    <w:rsid w:val="00DD298A"/>
    <w:rsid w:val="00DD2B2D"/>
    <w:rsid w:val="00DD4534"/>
    <w:rsid w:val="00DD6641"/>
    <w:rsid w:val="00DE168E"/>
    <w:rsid w:val="00DF172F"/>
    <w:rsid w:val="00DF17BF"/>
    <w:rsid w:val="00DF2140"/>
    <w:rsid w:val="00DF49FE"/>
    <w:rsid w:val="00DF65DE"/>
    <w:rsid w:val="00E02368"/>
    <w:rsid w:val="00E105D4"/>
    <w:rsid w:val="00E119C1"/>
    <w:rsid w:val="00E12A76"/>
    <w:rsid w:val="00E12DAF"/>
    <w:rsid w:val="00E15E99"/>
    <w:rsid w:val="00E1687C"/>
    <w:rsid w:val="00E213C4"/>
    <w:rsid w:val="00E25C96"/>
    <w:rsid w:val="00E3158C"/>
    <w:rsid w:val="00E35052"/>
    <w:rsid w:val="00E35309"/>
    <w:rsid w:val="00E356FE"/>
    <w:rsid w:val="00E40BBF"/>
    <w:rsid w:val="00E41196"/>
    <w:rsid w:val="00E424D2"/>
    <w:rsid w:val="00E43455"/>
    <w:rsid w:val="00E43EF1"/>
    <w:rsid w:val="00E4554E"/>
    <w:rsid w:val="00E51795"/>
    <w:rsid w:val="00E5277A"/>
    <w:rsid w:val="00E53337"/>
    <w:rsid w:val="00E53B52"/>
    <w:rsid w:val="00E632AC"/>
    <w:rsid w:val="00E6491A"/>
    <w:rsid w:val="00E66762"/>
    <w:rsid w:val="00E721A9"/>
    <w:rsid w:val="00E75D00"/>
    <w:rsid w:val="00E75F3B"/>
    <w:rsid w:val="00E76648"/>
    <w:rsid w:val="00E86C0D"/>
    <w:rsid w:val="00E90D9B"/>
    <w:rsid w:val="00E91452"/>
    <w:rsid w:val="00EA178A"/>
    <w:rsid w:val="00EA5D2D"/>
    <w:rsid w:val="00EB009E"/>
    <w:rsid w:val="00EB0BA5"/>
    <w:rsid w:val="00EB3128"/>
    <w:rsid w:val="00EB7F44"/>
    <w:rsid w:val="00EC189B"/>
    <w:rsid w:val="00EC3F6B"/>
    <w:rsid w:val="00EC5C8C"/>
    <w:rsid w:val="00EC7BD8"/>
    <w:rsid w:val="00ED04DC"/>
    <w:rsid w:val="00ED0B50"/>
    <w:rsid w:val="00ED1033"/>
    <w:rsid w:val="00ED3993"/>
    <w:rsid w:val="00ED4B30"/>
    <w:rsid w:val="00ED5206"/>
    <w:rsid w:val="00ED72C1"/>
    <w:rsid w:val="00ED788C"/>
    <w:rsid w:val="00EE1CF4"/>
    <w:rsid w:val="00EE46FF"/>
    <w:rsid w:val="00EE4709"/>
    <w:rsid w:val="00EE6643"/>
    <w:rsid w:val="00EE71F1"/>
    <w:rsid w:val="00EF051A"/>
    <w:rsid w:val="00EF1336"/>
    <w:rsid w:val="00EF1537"/>
    <w:rsid w:val="00EF1E4E"/>
    <w:rsid w:val="00EF5447"/>
    <w:rsid w:val="00F06E6E"/>
    <w:rsid w:val="00F0769B"/>
    <w:rsid w:val="00F11CFC"/>
    <w:rsid w:val="00F162BF"/>
    <w:rsid w:val="00F21756"/>
    <w:rsid w:val="00F22CEC"/>
    <w:rsid w:val="00F2502E"/>
    <w:rsid w:val="00F2743A"/>
    <w:rsid w:val="00F30EB0"/>
    <w:rsid w:val="00F35BA4"/>
    <w:rsid w:val="00F374DD"/>
    <w:rsid w:val="00F419EF"/>
    <w:rsid w:val="00F451D8"/>
    <w:rsid w:val="00F45366"/>
    <w:rsid w:val="00F479DE"/>
    <w:rsid w:val="00F5116C"/>
    <w:rsid w:val="00F51EC5"/>
    <w:rsid w:val="00F53B86"/>
    <w:rsid w:val="00F572C7"/>
    <w:rsid w:val="00F62237"/>
    <w:rsid w:val="00F639C8"/>
    <w:rsid w:val="00F70DB5"/>
    <w:rsid w:val="00F710F9"/>
    <w:rsid w:val="00F817DE"/>
    <w:rsid w:val="00F90B52"/>
    <w:rsid w:val="00F91E50"/>
    <w:rsid w:val="00F91F7C"/>
    <w:rsid w:val="00F9337E"/>
    <w:rsid w:val="00F97224"/>
    <w:rsid w:val="00FA1152"/>
    <w:rsid w:val="00FA186C"/>
    <w:rsid w:val="00FA1E7F"/>
    <w:rsid w:val="00FA2D02"/>
    <w:rsid w:val="00FA4D0F"/>
    <w:rsid w:val="00FA7634"/>
    <w:rsid w:val="00FA7965"/>
    <w:rsid w:val="00FA7EF8"/>
    <w:rsid w:val="00FB3B21"/>
    <w:rsid w:val="00FC4A99"/>
    <w:rsid w:val="00FC5334"/>
    <w:rsid w:val="00FC5379"/>
    <w:rsid w:val="00FC5574"/>
    <w:rsid w:val="00FC6EA1"/>
    <w:rsid w:val="00FD44FC"/>
    <w:rsid w:val="00FD5695"/>
    <w:rsid w:val="00FD7030"/>
    <w:rsid w:val="00FD7B44"/>
    <w:rsid w:val="00FE0E6E"/>
    <w:rsid w:val="00FE3160"/>
    <w:rsid w:val="00FE5536"/>
    <w:rsid w:val="00FF0F47"/>
    <w:rsid w:val="00FF11D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762229F"/>
  <w15:docId w15:val="{740B5F16-84FA-44EC-9544-B4549E8FC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1CAA"/>
    <w:rPr>
      <w:sz w:val="24"/>
      <w:szCs w:val="24"/>
      <w:lang w:val="en-US" w:eastAsia="en-US"/>
    </w:rPr>
  </w:style>
  <w:style w:type="paragraph" w:styleId="Heading1">
    <w:name w:val="heading 1"/>
    <w:basedOn w:val="Normal"/>
    <w:next w:val="Normal"/>
    <w:qFormat/>
    <w:rsid w:val="00CC401E"/>
    <w:pPr>
      <w:autoSpaceDE w:val="0"/>
      <w:autoSpaceDN w:val="0"/>
      <w:adjustRightInd w:val="0"/>
      <w:spacing w:before="240"/>
      <w:outlineLvl w:val="0"/>
    </w:pPr>
    <w:rPr>
      <w:rFonts w:ascii="Helvetica" w:hAnsi="Helvetica" w:cs="FormataOTF-Bold"/>
      <w:b/>
      <w:bCs/>
      <w:color w:val="00629B"/>
      <w:sz w:val="18"/>
      <w:szCs w:val="18"/>
    </w:rPr>
  </w:style>
  <w:style w:type="paragraph" w:styleId="Heading2">
    <w:name w:val="heading 2"/>
    <w:basedOn w:val="Normal"/>
    <w:next w:val="Normal"/>
    <w:qFormat/>
    <w:rsid w:val="00CC401E"/>
    <w:pPr>
      <w:autoSpaceDE w:val="0"/>
      <w:autoSpaceDN w:val="0"/>
      <w:adjustRightInd w:val="0"/>
      <w:spacing w:before="260"/>
      <w:outlineLvl w:val="1"/>
    </w:pPr>
    <w:rPr>
      <w:rFonts w:ascii="Helvetica" w:hAnsi="Helvetica" w:cs="FormataOTFMdIt"/>
      <w:b/>
      <w:i/>
      <w:color w:val="58595B"/>
      <w:sz w:val="18"/>
      <w:szCs w:val="18"/>
    </w:rPr>
  </w:style>
  <w:style w:type="paragraph" w:styleId="Heading3">
    <w:name w:val="heading 3"/>
    <w:basedOn w:val="Normal"/>
    <w:next w:val="Normal"/>
    <w:qFormat/>
    <w:rsid w:val="00CC401E"/>
    <w:pPr>
      <w:autoSpaceDE w:val="0"/>
      <w:autoSpaceDN w:val="0"/>
      <w:adjustRightInd w:val="0"/>
      <w:spacing w:before="80"/>
      <w:outlineLvl w:val="2"/>
    </w:pPr>
    <w:rPr>
      <w:rFonts w:ascii="Helvetica" w:hAnsi="Helvetica" w:cs="FormataOTF-Reg"/>
      <w:caps/>
      <w:color w:val="58595B"/>
      <w:sz w:val="18"/>
      <w:szCs w:val="18"/>
    </w:rPr>
  </w:style>
  <w:style w:type="paragraph" w:styleId="Heading4">
    <w:name w:val="heading 4"/>
    <w:basedOn w:val="Abstract"/>
    <w:next w:val="Normal"/>
    <w:qFormat/>
    <w:rsid w:val="00CC401E"/>
    <w:pPr>
      <w:outlineLvl w:val="3"/>
    </w:pPr>
  </w:style>
  <w:style w:type="paragraph" w:styleId="Heading5">
    <w:name w:val="heading 5"/>
    <w:basedOn w:val="Normal"/>
    <w:next w:val="Normal"/>
    <w:qFormat/>
    <w:rsid w:val="00BE0B38"/>
    <w:pPr>
      <w:numPr>
        <w:ilvl w:val="4"/>
        <w:numId w:val="11"/>
      </w:numPr>
      <w:spacing w:before="240" w:after="60"/>
      <w:outlineLvl w:val="4"/>
    </w:pPr>
    <w:rPr>
      <w:sz w:val="18"/>
      <w:szCs w:val="18"/>
    </w:rPr>
  </w:style>
  <w:style w:type="paragraph" w:styleId="Heading6">
    <w:name w:val="heading 6"/>
    <w:basedOn w:val="Normal"/>
    <w:next w:val="Normal"/>
    <w:qFormat/>
    <w:rsid w:val="00BE0B38"/>
    <w:pPr>
      <w:numPr>
        <w:ilvl w:val="5"/>
        <w:numId w:val="11"/>
      </w:numPr>
      <w:spacing w:before="240" w:after="60"/>
      <w:outlineLvl w:val="5"/>
    </w:pPr>
    <w:rPr>
      <w:i/>
      <w:iCs/>
      <w:sz w:val="16"/>
      <w:szCs w:val="16"/>
    </w:rPr>
  </w:style>
  <w:style w:type="paragraph" w:styleId="Heading7">
    <w:name w:val="heading 7"/>
    <w:basedOn w:val="Normal"/>
    <w:next w:val="Normal"/>
    <w:qFormat/>
    <w:rsid w:val="00BE0B38"/>
    <w:pPr>
      <w:numPr>
        <w:ilvl w:val="6"/>
        <w:numId w:val="11"/>
      </w:numPr>
      <w:spacing w:before="240" w:after="60"/>
      <w:outlineLvl w:val="6"/>
    </w:pPr>
    <w:rPr>
      <w:sz w:val="16"/>
      <w:szCs w:val="16"/>
    </w:rPr>
  </w:style>
  <w:style w:type="paragraph" w:styleId="Heading8">
    <w:name w:val="heading 8"/>
    <w:basedOn w:val="Normal"/>
    <w:next w:val="Normal"/>
    <w:qFormat/>
    <w:rsid w:val="00BE0B38"/>
    <w:pPr>
      <w:numPr>
        <w:ilvl w:val="7"/>
        <w:numId w:val="11"/>
      </w:numPr>
      <w:spacing w:before="240" w:after="60"/>
      <w:outlineLvl w:val="7"/>
    </w:pPr>
    <w:rPr>
      <w:i/>
      <w:iCs/>
      <w:sz w:val="16"/>
      <w:szCs w:val="16"/>
    </w:rPr>
  </w:style>
  <w:style w:type="paragraph" w:styleId="Heading9">
    <w:name w:val="heading 9"/>
    <w:basedOn w:val="Normal"/>
    <w:next w:val="Normal"/>
    <w:qFormat/>
    <w:rsid w:val="00BE0B38"/>
    <w:pPr>
      <w:numPr>
        <w:ilvl w:val="8"/>
        <w:numId w:val="1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link w:val="AbstractChar"/>
    <w:rsid w:val="00D26E50"/>
    <w:pPr>
      <w:spacing w:after="340" w:line="240" w:lineRule="exact"/>
      <w:ind w:right="1380"/>
      <w:jc w:val="both"/>
    </w:pPr>
    <w:rPr>
      <w:sz w:val="20"/>
      <w:szCs w:val="20"/>
    </w:rPr>
  </w:style>
  <w:style w:type="character" w:customStyle="1" w:styleId="AbstractChar">
    <w:name w:val="Abstract Char"/>
    <w:link w:val="Abstract"/>
    <w:rsid w:val="00D26E50"/>
    <w:rPr>
      <w:lang w:val="en-US" w:eastAsia="en-US" w:bidi="ar-SA"/>
    </w:rPr>
  </w:style>
  <w:style w:type="character" w:styleId="Hyperlink">
    <w:name w:val="Hyperlink"/>
    <w:rsid w:val="00EA5D2D"/>
    <w:rPr>
      <w:color w:val="0000FF"/>
      <w:u w:val="single"/>
    </w:rPr>
  </w:style>
  <w:style w:type="paragraph" w:customStyle="1" w:styleId="DOP">
    <w:name w:val="DOP"/>
    <w:basedOn w:val="Normal"/>
    <w:rsid w:val="00015E73"/>
    <w:pPr>
      <w:spacing w:after="120"/>
    </w:pPr>
    <w:rPr>
      <w:rFonts w:ascii="Helvetica" w:hAnsi="Helvetica"/>
      <w:sz w:val="14"/>
      <w:szCs w:val="14"/>
    </w:rPr>
  </w:style>
  <w:style w:type="paragraph" w:customStyle="1" w:styleId="DOI">
    <w:name w:val="DOI"/>
    <w:basedOn w:val="Normal"/>
    <w:rsid w:val="00EC3F6B"/>
    <w:rPr>
      <w:i/>
      <w:sz w:val="12"/>
      <w:szCs w:val="12"/>
    </w:rPr>
  </w:style>
  <w:style w:type="paragraph" w:customStyle="1" w:styleId="AIHead">
    <w:name w:val="AI Head"/>
    <w:basedOn w:val="Abstract"/>
    <w:link w:val="AIHeadChar"/>
    <w:rsid w:val="00EC3F6B"/>
    <w:rPr>
      <w:rFonts w:ascii="Helvetica" w:hAnsi="Helvetica"/>
      <w:b/>
      <w:color w:val="00629B"/>
    </w:rPr>
  </w:style>
  <w:style w:type="character" w:customStyle="1" w:styleId="AIHeadChar">
    <w:name w:val="AI Head Char"/>
    <w:link w:val="AIHead"/>
    <w:rsid w:val="00EC3F6B"/>
    <w:rPr>
      <w:rFonts w:ascii="Helvetica" w:hAnsi="Helvetica"/>
      <w:b/>
      <w:color w:val="00629B"/>
      <w:lang w:val="en-US" w:eastAsia="en-US" w:bidi="ar-SA"/>
    </w:rPr>
  </w:style>
  <w:style w:type="paragraph" w:customStyle="1" w:styleId="IndexTerms">
    <w:name w:val="IndexTerms"/>
    <w:basedOn w:val="Normal"/>
    <w:rsid w:val="003B3FFE"/>
    <w:pPr>
      <w:autoSpaceDE w:val="0"/>
      <w:autoSpaceDN w:val="0"/>
      <w:adjustRightInd w:val="0"/>
      <w:spacing w:after="520"/>
      <w:ind w:right="1380"/>
    </w:pPr>
    <w:rPr>
      <w:rFonts w:cs="TimesLTStd-Roman"/>
      <w:sz w:val="20"/>
      <w:szCs w:val="20"/>
    </w:rPr>
  </w:style>
  <w:style w:type="paragraph" w:customStyle="1" w:styleId="PARA">
    <w:name w:val="PARA"/>
    <w:basedOn w:val="Normal"/>
    <w:rsid w:val="00EC3F6B"/>
    <w:pPr>
      <w:suppressAutoHyphens/>
      <w:autoSpaceDE w:val="0"/>
      <w:autoSpaceDN w:val="0"/>
      <w:adjustRightInd w:val="0"/>
      <w:spacing w:line="240" w:lineRule="exact"/>
      <w:jc w:val="both"/>
    </w:pPr>
    <w:rPr>
      <w:rFonts w:cs="TimesLTStd-Roman"/>
      <w:spacing w:val="-2"/>
      <w:sz w:val="20"/>
      <w:szCs w:val="20"/>
    </w:rPr>
  </w:style>
  <w:style w:type="paragraph" w:customStyle="1" w:styleId="PARAIndent">
    <w:name w:val="PARA_Indent"/>
    <w:basedOn w:val="PARA"/>
    <w:rsid w:val="009F494B"/>
    <w:pPr>
      <w:ind w:firstLine="200"/>
    </w:pPr>
  </w:style>
  <w:style w:type="character" w:customStyle="1" w:styleId="ITAL">
    <w:name w:val="ITAL"/>
    <w:rsid w:val="009F494B"/>
    <w:rPr>
      <w:i/>
    </w:rPr>
  </w:style>
  <w:style w:type="paragraph" w:customStyle="1" w:styleId="AU">
    <w:name w:val="AU"/>
    <w:basedOn w:val="Normal"/>
    <w:rsid w:val="00084BD2"/>
    <w:pPr>
      <w:spacing w:after="100"/>
      <w:ind w:right="1380"/>
    </w:pPr>
    <w:rPr>
      <w:rFonts w:ascii="Helvetica" w:hAnsi="Helvetica"/>
      <w:b/>
      <w:sz w:val="20"/>
      <w:szCs w:val="20"/>
    </w:rPr>
  </w:style>
  <w:style w:type="paragraph" w:customStyle="1" w:styleId="Aff">
    <w:name w:val="Aff"/>
    <w:basedOn w:val="Normal"/>
    <w:rsid w:val="003B3FFE"/>
    <w:pPr>
      <w:spacing w:after="40" w:line="140" w:lineRule="exact"/>
      <w:ind w:right="1380"/>
    </w:pPr>
    <w:rPr>
      <w:sz w:val="14"/>
    </w:rPr>
  </w:style>
  <w:style w:type="paragraph" w:customStyle="1" w:styleId="CA">
    <w:name w:val="CA"/>
    <w:basedOn w:val="Normal"/>
    <w:rsid w:val="00EC3F6B"/>
    <w:pPr>
      <w:spacing w:before="100" w:after="100"/>
      <w:ind w:right="1380"/>
    </w:pPr>
    <w:rPr>
      <w:sz w:val="15"/>
    </w:rPr>
  </w:style>
  <w:style w:type="paragraph" w:customStyle="1" w:styleId="PI">
    <w:name w:val="PI"/>
    <w:basedOn w:val="Normal"/>
    <w:rsid w:val="00084BD2"/>
    <w:pPr>
      <w:spacing w:after="540" w:line="180" w:lineRule="exact"/>
      <w:ind w:right="1600" w:firstLine="180"/>
    </w:pPr>
    <w:rPr>
      <w:sz w:val="15"/>
    </w:rPr>
  </w:style>
  <w:style w:type="paragraph" w:customStyle="1" w:styleId="References">
    <w:name w:val="References"/>
    <w:basedOn w:val="Normal"/>
    <w:rsid w:val="00CB1F92"/>
    <w:pPr>
      <w:tabs>
        <w:tab w:val="num" w:pos="1170"/>
      </w:tabs>
      <w:ind w:left="1170" w:hanging="360"/>
      <w:jc w:val="both"/>
    </w:pPr>
    <w:rPr>
      <w:sz w:val="16"/>
      <w:szCs w:val="16"/>
    </w:rPr>
  </w:style>
  <w:style w:type="paragraph" w:customStyle="1" w:styleId="Equation">
    <w:name w:val="Equation"/>
    <w:basedOn w:val="Normal"/>
    <w:rsid w:val="00680E60"/>
    <w:pPr>
      <w:tabs>
        <w:tab w:val="left" w:pos="4584"/>
      </w:tabs>
      <w:autoSpaceDE w:val="0"/>
      <w:autoSpaceDN w:val="0"/>
      <w:adjustRightInd w:val="0"/>
      <w:spacing w:before="120" w:after="120"/>
      <w:ind w:left="1600"/>
    </w:pPr>
    <w:rPr>
      <w:rFonts w:cs="MTSYN"/>
      <w:i/>
      <w:sz w:val="20"/>
      <w:szCs w:val="20"/>
    </w:rPr>
  </w:style>
  <w:style w:type="paragraph" w:customStyle="1" w:styleId="FigCaption">
    <w:name w:val="Fig Caption"/>
    <w:basedOn w:val="Normal"/>
    <w:rsid w:val="00B06847"/>
    <w:pPr>
      <w:autoSpaceDE w:val="0"/>
      <w:autoSpaceDN w:val="0"/>
      <w:adjustRightInd w:val="0"/>
      <w:spacing w:before="140"/>
    </w:pPr>
    <w:rPr>
      <w:rFonts w:ascii="Helvetica" w:hAnsi="Helvetica" w:cs="FormataOTF-Bold"/>
      <w:b/>
      <w:bCs/>
      <w:sz w:val="14"/>
      <w:szCs w:val="14"/>
    </w:rPr>
  </w:style>
  <w:style w:type="character" w:customStyle="1" w:styleId="CaptionColor">
    <w:name w:val="Caption Color"/>
    <w:rsid w:val="00B06847"/>
    <w:rPr>
      <w:rFonts w:ascii="Helvetica" w:hAnsi="Helvetica" w:cs="FormataOTF-Bold"/>
      <w:bCs/>
      <w:color w:val="00629B"/>
      <w:sz w:val="14"/>
      <w:szCs w:val="14"/>
    </w:rPr>
  </w:style>
  <w:style w:type="paragraph" w:customStyle="1" w:styleId="TableCaption">
    <w:name w:val="Table Caption"/>
    <w:basedOn w:val="Normal"/>
    <w:rsid w:val="00231E14"/>
    <w:pPr>
      <w:autoSpaceDE w:val="0"/>
      <w:autoSpaceDN w:val="0"/>
      <w:adjustRightInd w:val="0"/>
      <w:spacing w:before="320" w:after="220"/>
    </w:pPr>
    <w:rPr>
      <w:rFonts w:ascii="Helvetica" w:hAnsi="Helvetica" w:cs="FormataOTFMd"/>
      <w:b/>
      <w:sz w:val="14"/>
      <w:szCs w:val="14"/>
    </w:rPr>
  </w:style>
  <w:style w:type="paragraph" w:customStyle="1" w:styleId="Ref1">
    <w:name w:val="Ref_1"/>
    <w:basedOn w:val="Normal"/>
    <w:rsid w:val="00105925"/>
    <w:pPr>
      <w:autoSpaceDE w:val="0"/>
      <w:autoSpaceDN w:val="0"/>
      <w:adjustRightInd w:val="0"/>
      <w:spacing w:before="40"/>
      <w:ind w:left="300" w:hanging="260"/>
      <w:jc w:val="both"/>
    </w:pPr>
    <w:rPr>
      <w:rFonts w:cs="TimesLTStd-Roman"/>
      <w:sz w:val="15"/>
      <w:szCs w:val="15"/>
    </w:rPr>
  </w:style>
  <w:style w:type="paragraph" w:customStyle="1" w:styleId="Ref">
    <w:name w:val="Ref"/>
    <w:basedOn w:val="Ref1"/>
    <w:rsid w:val="007573E5"/>
    <w:pPr>
      <w:spacing w:before="0"/>
    </w:pPr>
  </w:style>
  <w:style w:type="paragraph" w:customStyle="1" w:styleId="AUBios">
    <w:name w:val="AU_Bios"/>
    <w:basedOn w:val="Normal"/>
    <w:rsid w:val="00323E56"/>
    <w:pPr>
      <w:autoSpaceDE w:val="0"/>
      <w:autoSpaceDN w:val="0"/>
      <w:adjustRightInd w:val="0"/>
      <w:spacing w:before="1340"/>
      <w:jc w:val="both"/>
    </w:pPr>
    <w:rPr>
      <w:rFonts w:cs="TimesLTStd-Roman"/>
      <w:sz w:val="16"/>
      <w:szCs w:val="16"/>
    </w:rPr>
  </w:style>
  <w:style w:type="character" w:customStyle="1" w:styleId="AUBiosbd">
    <w:name w:val="AU_Bios bd"/>
    <w:rsid w:val="00382E5B"/>
    <w:rPr>
      <w:rFonts w:ascii="Helvetica" w:hAnsi="Helvetica" w:cs="FormataOTFMd"/>
      <w:b/>
    </w:rPr>
  </w:style>
  <w:style w:type="paragraph" w:styleId="Header">
    <w:name w:val="header"/>
    <w:basedOn w:val="Normal"/>
    <w:rsid w:val="00E721A9"/>
    <w:pPr>
      <w:tabs>
        <w:tab w:val="center" w:pos="4320"/>
        <w:tab w:val="right" w:pos="8640"/>
      </w:tabs>
    </w:pPr>
  </w:style>
  <w:style w:type="paragraph" w:styleId="Footer">
    <w:name w:val="footer"/>
    <w:basedOn w:val="Normal"/>
    <w:rsid w:val="00E721A9"/>
    <w:pPr>
      <w:tabs>
        <w:tab w:val="center" w:pos="4320"/>
        <w:tab w:val="right" w:pos="8640"/>
      </w:tabs>
    </w:pPr>
  </w:style>
  <w:style w:type="character" w:customStyle="1" w:styleId="SuperScript">
    <w:name w:val="Super Script"/>
    <w:rsid w:val="00947BF1"/>
    <w:rPr>
      <w:vertAlign w:val="superscript"/>
    </w:rPr>
  </w:style>
  <w:style w:type="paragraph" w:customStyle="1" w:styleId="PINoSpace">
    <w:name w:val="PI_No Space"/>
    <w:basedOn w:val="PI"/>
    <w:rsid w:val="008B67BD"/>
    <w:pPr>
      <w:spacing w:after="0"/>
      <w:ind w:firstLine="0"/>
    </w:pPr>
    <w:rPr>
      <w:sz w:val="14"/>
      <w:szCs w:val="14"/>
    </w:rPr>
  </w:style>
  <w:style w:type="paragraph" w:customStyle="1" w:styleId="Text">
    <w:name w:val="Text"/>
    <w:basedOn w:val="PARA"/>
    <w:rsid w:val="00CC401E"/>
  </w:style>
  <w:style w:type="character" w:customStyle="1" w:styleId="BodyText2">
    <w:name w:val="Body Text2"/>
    <w:rsid w:val="00ED72C1"/>
    <w:rPr>
      <w:rFonts w:ascii="Verdana" w:hAnsi="Verdana" w:cs="Verdana"/>
      <w:color w:val="000000"/>
      <w:sz w:val="22"/>
      <w:szCs w:val="22"/>
    </w:rPr>
  </w:style>
  <w:style w:type="paragraph" w:styleId="FootnoteText">
    <w:name w:val="footnote text"/>
    <w:basedOn w:val="Normal"/>
    <w:link w:val="FootnoteTextChar"/>
    <w:semiHidden/>
    <w:rsid w:val="00856CFF"/>
    <w:pPr>
      <w:ind w:firstLine="202"/>
      <w:jc w:val="both"/>
    </w:pPr>
    <w:rPr>
      <w:sz w:val="16"/>
      <w:szCs w:val="16"/>
      <w:lang w:val="x-none" w:eastAsia="x-none"/>
    </w:rPr>
  </w:style>
  <w:style w:type="character" w:customStyle="1" w:styleId="FootnoteTextChar">
    <w:name w:val="Footnote Text Char"/>
    <w:link w:val="FootnoteText"/>
    <w:semiHidden/>
    <w:rsid w:val="00856CFF"/>
    <w:rPr>
      <w:sz w:val="16"/>
      <w:szCs w:val="16"/>
      <w:lang w:val="x-none" w:eastAsia="x-none" w:bidi="ar-SA"/>
    </w:rPr>
  </w:style>
  <w:style w:type="paragraph" w:customStyle="1" w:styleId="TableTitle">
    <w:name w:val="Table Title"/>
    <w:basedOn w:val="Normal"/>
    <w:rsid w:val="00856CFF"/>
    <w:pPr>
      <w:jc w:val="center"/>
    </w:pPr>
    <w:rPr>
      <w:smallCaps/>
      <w:sz w:val="16"/>
      <w:szCs w:val="16"/>
    </w:rPr>
  </w:style>
  <w:style w:type="character" w:customStyle="1" w:styleId="bodytype">
    <w:name w:val="body type"/>
    <w:rsid w:val="00457310"/>
    <w:rPr>
      <w:rFonts w:ascii="Formata-Regular" w:hAnsi="Formata-Regular" w:cs="Formata-Regular"/>
      <w:color w:val="000000"/>
      <w:sz w:val="22"/>
      <w:szCs w:val="22"/>
    </w:rPr>
  </w:style>
  <w:style w:type="paragraph" w:customStyle="1" w:styleId="Style1">
    <w:name w:val="Style1"/>
    <w:basedOn w:val="Normal"/>
    <w:link w:val="Style1Char"/>
    <w:qFormat/>
    <w:rsid w:val="00457310"/>
    <w:pPr>
      <w:keepNext/>
      <w:spacing w:before="240" w:after="80"/>
      <w:jc w:val="center"/>
      <w:outlineLvl w:val="0"/>
    </w:pPr>
    <w:rPr>
      <w:smallCaps/>
      <w:kern w:val="28"/>
      <w:sz w:val="20"/>
      <w:szCs w:val="20"/>
      <w:lang w:val="x-none" w:eastAsia="x-none"/>
    </w:rPr>
  </w:style>
  <w:style w:type="character" w:customStyle="1" w:styleId="Style1Char">
    <w:name w:val="Style1 Char"/>
    <w:link w:val="Style1"/>
    <w:rsid w:val="00457310"/>
    <w:rPr>
      <w:smallCaps/>
      <w:kern w:val="28"/>
      <w:lang w:val="x-none" w:eastAsia="x-none" w:bidi="ar-SA"/>
    </w:rPr>
  </w:style>
  <w:style w:type="character" w:styleId="FootnoteReference">
    <w:name w:val="footnote reference"/>
    <w:semiHidden/>
    <w:rsid w:val="001C597C"/>
    <w:rPr>
      <w:vertAlign w:val="superscript"/>
    </w:rPr>
  </w:style>
  <w:style w:type="paragraph" w:customStyle="1" w:styleId="AUBiosNoSpace">
    <w:name w:val="AU_Bios_No Space"/>
    <w:basedOn w:val="AUBios"/>
    <w:rsid w:val="006A0B53"/>
    <w:pPr>
      <w:spacing w:before="0"/>
      <w:ind w:firstLine="180"/>
    </w:pPr>
  </w:style>
  <w:style w:type="paragraph" w:customStyle="1" w:styleId="FigureCaption">
    <w:name w:val="Figure Caption"/>
    <w:basedOn w:val="Normal"/>
    <w:rsid w:val="0003253A"/>
    <w:pPr>
      <w:jc w:val="both"/>
    </w:pPr>
    <w:rPr>
      <w:sz w:val="16"/>
      <w:szCs w:val="16"/>
    </w:rPr>
  </w:style>
  <w:style w:type="paragraph" w:styleId="Title">
    <w:name w:val="Title"/>
    <w:basedOn w:val="Normal"/>
    <w:next w:val="Normal"/>
    <w:link w:val="TitleChar"/>
    <w:qFormat/>
    <w:rsid w:val="008B67BD"/>
    <w:pPr>
      <w:spacing w:before="480" w:after="300"/>
    </w:pPr>
    <w:rPr>
      <w:rFonts w:ascii="Helvetica" w:hAnsi="Helvetica"/>
      <w:b/>
      <w:color w:val="00629B"/>
      <w:sz w:val="44"/>
      <w:szCs w:val="44"/>
    </w:rPr>
  </w:style>
  <w:style w:type="character" w:customStyle="1" w:styleId="TitleChar">
    <w:name w:val="Title Char"/>
    <w:link w:val="Title"/>
    <w:rsid w:val="008B67BD"/>
    <w:rPr>
      <w:rFonts w:ascii="Helvetica" w:hAnsi="Helvetica"/>
      <w:b/>
      <w:color w:val="00629B"/>
      <w:sz w:val="44"/>
      <w:szCs w:val="44"/>
      <w:lang w:val="en-US" w:eastAsia="en-US"/>
    </w:rPr>
  </w:style>
  <w:style w:type="character" w:customStyle="1" w:styleId="UnresolvedMention1">
    <w:name w:val="Unresolved Mention1"/>
    <w:basedOn w:val="DefaultParagraphFont"/>
    <w:uiPriority w:val="99"/>
    <w:semiHidden/>
    <w:unhideWhenUsed/>
    <w:rsid w:val="006D5DD4"/>
    <w:rPr>
      <w:color w:val="605E5C"/>
      <w:shd w:val="clear" w:color="auto" w:fill="E1DFDD"/>
    </w:rPr>
  </w:style>
  <w:style w:type="paragraph" w:styleId="BalloonText">
    <w:name w:val="Balloon Text"/>
    <w:basedOn w:val="Normal"/>
    <w:link w:val="BalloonTextChar"/>
    <w:rsid w:val="00C4585E"/>
    <w:rPr>
      <w:rFonts w:ascii="Tahoma" w:hAnsi="Tahoma" w:cs="Tahoma"/>
      <w:sz w:val="16"/>
      <w:szCs w:val="16"/>
    </w:rPr>
  </w:style>
  <w:style w:type="character" w:customStyle="1" w:styleId="BalloonTextChar">
    <w:name w:val="Balloon Text Char"/>
    <w:basedOn w:val="DefaultParagraphFont"/>
    <w:link w:val="BalloonText"/>
    <w:rsid w:val="00C4585E"/>
    <w:rPr>
      <w:rFonts w:ascii="Tahoma" w:hAnsi="Tahoma" w:cs="Tahoma"/>
      <w:sz w:val="16"/>
      <w:szCs w:val="16"/>
      <w:lang w:val="en-US" w:eastAsia="en-US"/>
    </w:rPr>
  </w:style>
  <w:style w:type="paragraph" w:customStyle="1" w:styleId="Default">
    <w:name w:val="Default"/>
    <w:rsid w:val="000160D3"/>
    <w:pPr>
      <w:autoSpaceDE w:val="0"/>
      <w:autoSpaceDN w:val="0"/>
      <w:adjustRightInd w:val="0"/>
    </w:pPr>
    <w:rPr>
      <w:rFonts w:eastAsiaTheme="minorHAnsi"/>
      <w:color w:val="000000"/>
      <w:sz w:val="24"/>
      <w:szCs w:val="24"/>
      <w:lang w:val="en-US" w:eastAsia="en-US"/>
    </w:rPr>
  </w:style>
  <w:style w:type="paragraph" w:styleId="Caption">
    <w:name w:val="caption"/>
    <w:basedOn w:val="Normal"/>
    <w:next w:val="Normal"/>
    <w:uiPriority w:val="35"/>
    <w:unhideWhenUsed/>
    <w:qFormat/>
    <w:rsid w:val="000160D3"/>
    <w:pPr>
      <w:spacing w:after="200"/>
    </w:pPr>
    <w:rPr>
      <w:rFonts w:asciiTheme="minorHAnsi" w:eastAsiaTheme="minorHAnsi" w:hAnsiTheme="minorHAnsi" w:cstheme="minorBidi"/>
      <w:i/>
      <w:iCs/>
      <w:color w:val="44546A" w:themeColor="text2"/>
      <w:sz w:val="18"/>
      <w:szCs w:val="18"/>
      <w:lang w:val="en-ID"/>
    </w:rPr>
  </w:style>
  <w:style w:type="table" w:styleId="LightShading">
    <w:name w:val="Light Shading"/>
    <w:basedOn w:val="TableNormal"/>
    <w:uiPriority w:val="60"/>
    <w:rsid w:val="000160D3"/>
    <w:rPr>
      <w:rFonts w:asciiTheme="minorHAnsi" w:eastAsiaTheme="minorHAnsi" w:hAnsiTheme="minorHAnsi" w:cstheme="minorBidi"/>
      <w:color w:val="000000" w:themeColor="text1" w:themeShade="BF"/>
      <w:sz w:val="22"/>
      <w:szCs w:val="22"/>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100" w:beforeAutospacing="1" w:afterLines="0" w:after="10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ListParagraphChar">
    <w:name w:val="List Paragraph Char"/>
    <w:basedOn w:val="DefaultParagraphFont"/>
    <w:link w:val="ListParagraph"/>
    <w:uiPriority w:val="34"/>
    <w:locked/>
    <w:rsid w:val="005C3B7E"/>
  </w:style>
  <w:style w:type="paragraph" w:styleId="ListParagraph">
    <w:name w:val="List Paragraph"/>
    <w:basedOn w:val="Normal"/>
    <w:link w:val="ListParagraphChar"/>
    <w:uiPriority w:val="34"/>
    <w:qFormat/>
    <w:rsid w:val="005C3B7E"/>
    <w:pPr>
      <w:spacing w:after="160" w:line="254" w:lineRule="auto"/>
      <w:ind w:left="720"/>
      <w:contextualSpacing/>
    </w:pPr>
    <w:rPr>
      <w:sz w:val="20"/>
      <w:szCs w:val="20"/>
      <w:lang w:val="id-ID" w:eastAsia="id-ID"/>
    </w:rPr>
  </w:style>
  <w:style w:type="paragraph" w:customStyle="1" w:styleId="TableParagraph">
    <w:name w:val="Table Paragraph"/>
    <w:basedOn w:val="Normal"/>
    <w:uiPriority w:val="1"/>
    <w:qFormat/>
    <w:rsid w:val="000137F7"/>
    <w:pPr>
      <w:widowControl w:val="0"/>
      <w:autoSpaceDE w:val="0"/>
      <w:autoSpaceDN w:val="0"/>
    </w:pPr>
    <w:rPr>
      <w:sz w:val="22"/>
      <w:szCs w:val="22"/>
    </w:rPr>
  </w:style>
  <w:style w:type="character" w:styleId="PlaceholderText">
    <w:name w:val="Placeholder Text"/>
    <w:basedOn w:val="DefaultParagraphFont"/>
    <w:uiPriority w:val="99"/>
    <w:semiHidden/>
    <w:rsid w:val="008304D8"/>
    <w:rPr>
      <w:color w:val="808080"/>
    </w:rPr>
  </w:style>
  <w:style w:type="character" w:styleId="CommentReference">
    <w:name w:val="annotation reference"/>
    <w:basedOn w:val="DefaultParagraphFont"/>
    <w:semiHidden/>
    <w:unhideWhenUsed/>
    <w:rsid w:val="00456276"/>
    <w:rPr>
      <w:sz w:val="16"/>
      <w:szCs w:val="16"/>
    </w:rPr>
  </w:style>
  <w:style w:type="paragraph" w:styleId="CommentText">
    <w:name w:val="annotation text"/>
    <w:basedOn w:val="Normal"/>
    <w:link w:val="CommentTextChar"/>
    <w:unhideWhenUsed/>
    <w:rsid w:val="00456276"/>
    <w:rPr>
      <w:sz w:val="20"/>
      <w:szCs w:val="20"/>
    </w:rPr>
  </w:style>
  <w:style w:type="character" w:customStyle="1" w:styleId="CommentTextChar">
    <w:name w:val="Comment Text Char"/>
    <w:basedOn w:val="DefaultParagraphFont"/>
    <w:link w:val="CommentText"/>
    <w:rsid w:val="00456276"/>
    <w:rPr>
      <w:lang w:val="en-US" w:eastAsia="en-US"/>
    </w:rPr>
  </w:style>
  <w:style w:type="paragraph" w:styleId="CommentSubject">
    <w:name w:val="annotation subject"/>
    <w:basedOn w:val="CommentText"/>
    <w:next w:val="CommentText"/>
    <w:link w:val="CommentSubjectChar"/>
    <w:semiHidden/>
    <w:unhideWhenUsed/>
    <w:rsid w:val="00456276"/>
    <w:rPr>
      <w:b/>
      <w:bCs/>
    </w:rPr>
  </w:style>
  <w:style w:type="character" w:customStyle="1" w:styleId="CommentSubjectChar">
    <w:name w:val="Comment Subject Char"/>
    <w:basedOn w:val="CommentTextChar"/>
    <w:link w:val="CommentSubject"/>
    <w:semiHidden/>
    <w:rsid w:val="0045627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52844">
      <w:bodyDiv w:val="1"/>
      <w:marLeft w:val="0"/>
      <w:marRight w:val="0"/>
      <w:marTop w:val="0"/>
      <w:marBottom w:val="0"/>
      <w:divBdr>
        <w:top w:val="none" w:sz="0" w:space="0" w:color="auto"/>
        <w:left w:val="none" w:sz="0" w:space="0" w:color="auto"/>
        <w:bottom w:val="none" w:sz="0" w:space="0" w:color="auto"/>
        <w:right w:val="none" w:sz="0" w:space="0" w:color="auto"/>
      </w:divBdr>
    </w:div>
    <w:div w:id="87701324">
      <w:bodyDiv w:val="1"/>
      <w:marLeft w:val="0"/>
      <w:marRight w:val="0"/>
      <w:marTop w:val="0"/>
      <w:marBottom w:val="0"/>
      <w:divBdr>
        <w:top w:val="none" w:sz="0" w:space="0" w:color="auto"/>
        <w:left w:val="none" w:sz="0" w:space="0" w:color="auto"/>
        <w:bottom w:val="none" w:sz="0" w:space="0" w:color="auto"/>
        <w:right w:val="none" w:sz="0" w:space="0" w:color="auto"/>
      </w:divBdr>
    </w:div>
    <w:div w:id="232081393">
      <w:bodyDiv w:val="1"/>
      <w:marLeft w:val="0"/>
      <w:marRight w:val="0"/>
      <w:marTop w:val="0"/>
      <w:marBottom w:val="0"/>
      <w:divBdr>
        <w:top w:val="none" w:sz="0" w:space="0" w:color="auto"/>
        <w:left w:val="none" w:sz="0" w:space="0" w:color="auto"/>
        <w:bottom w:val="none" w:sz="0" w:space="0" w:color="auto"/>
        <w:right w:val="none" w:sz="0" w:space="0" w:color="auto"/>
      </w:divBdr>
    </w:div>
    <w:div w:id="341710266">
      <w:bodyDiv w:val="1"/>
      <w:marLeft w:val="0"/>
      <w:marRight w:val="0"/>
      <w:marTop w:val="0"/>
      <w:marBottom w:val="0"/>
      <w:divBdr>
        <w:top w:val="none" w:sz="0" w:space="0" w:color="auto"/>
        <w:left w:val="none" w:sz="0" w:space="0" w:color="auto"/>
        <w:bottom w:val="none" w:sz="0" w:space="0" w:color="auto"/>
        <w:right w:val="none" w:sz="0" w:space="0" w:color="auto"/>
      </w:divBdr>
    </w:div>
    <w:div w:id="362752278">
      <w:bodyDiv w:val="1"/>
      <w:marLeft w:val="0"/>
      <w:marRight w:val="0"/>
      <w:marTop w:val="0"/>
      <w:marBottom w:val="0"/>
      <w:divBdr>
        <w:top w:val="none" w:sz="0" w:space="0" w:color="auto"/>
        <w:left w:val="none" w:sz="0" w:space="0" w:color="auto"/>
        <w:bottom w:val="none" w:sz="0" w:space="0" w:color="auto"/>
        <w:right w:val="none" w:sz="0" w:space="0" w:color="auto"/>
      </w:divBdr>
    </w:div>
    <w:div w:id="851189971">
      <w:bodyDiv w:val="1"/>
      <w:marLeft w:val="0"/>
      <w:marRight w:val="0"/>
      <w:marTop w:val="0"/>
      <w:marBottom w:val="0"/>
      <w:divBdr>
        <w:top w:val="none" w:sz="0" w:space="0" w:color="auto"/>
        <w:left w:val="none" w:sz="0" w:space="0" w:color="auto"/>
        <w:bottom w:val="none" w:sz="0" w:space="0" w:color="auto"/>
        <w:right w:val="none" w:sz="0" w:space="0" w:color="auto"/>
      </w:divBdr>
    </w:div>
    <w:div w:id="1374118530">
      <w:bodyDiv w:val="1"/>
      <w:marLeft w:val="0"/>
      <w:marRight w:val="0"/>
      <w:marTop w:val="0"/>
      <w:marBottom w:val="0"/>
      <w:divBdr>
        <w:top w:val="none" w:sz="0" w:space="0" w:color="auto"/>
        <w:left w:val="none" w:sz="0" w:space="0" w:color="auto"/>
        <w:bottom w:val="none" w:sz="0" w:space="0" w:color="auto"/>
        <w:right w:val="none" w:sz="0" w:space="0" w:color="auto"/>
      </w:divBdr>
    </w:div>
    <w:div w:id="1740904766">
      <w:bodyDiv w:val="1"/>
      <w:marLeft w:val="0"/>
      <w:marRight w:val="0"/>
      <w:marTop w:val="0"/>
      <w:marBottom w:val="0"/>
      <w:divBdr>
        <w:top w:val="none" w:sz="0" w:space="0" w:color="auto"/>
        <w:left w:val="none" w:sz="0" w:space="0" w:color="auto"/>
        <w:bottom w:val="none" w:sz="0" w:space="0" w:color="auto"/>
        <w:right w:val="none" w:sz="0" w:space="0" w:color="auto"/>
      </w:divBdr>
    </w:div>
    <w:div w:id="1841195466">
      <w:bodyDiv w:val="1"/>
      <w:marLeft w:val="0"/>
      <w:marRight w:val="0"/>
      <w:marTop w:val="0"/>
      <w:marBottom w:val="0"/>
      <w:divBdr>
        <w:top w:val="none" w:sz="0" w:space="0" w:color="auto"/>
        <w:left w:val="none" w:sz="0" w:space="0" w:color="auto"/>
        <w:bottom w:val="none" w:sz="0" w:space="0" w:color="auto"/>
        <w:right w:val="none" w:sz="0" w:space="0" w:color="auto"/>
      </w:divBdr>
    </w:div>
    <w:div w:id="2002078359">
      <w:bodyDiv w:val="1"/>
      <w:marLeft w:val="0"/>
      <w:marRight w:val="0"/>
      <w:marTop w:val="0"/>
      <w:marBottom w:val="0"/>
      <w:divBdr>
        <w:top w:val="none" w:sz="0" w:space="0" w:color="auto"/>
        <w:left w:val="none" w:sz="0" w:space="0" w:color="auto"/>
        <w:bottom w:val="none" w:sz="0" w:space="0" w:color="auto"/>
        <w:right w:val="none" w:sz="0" w:space="0" w:color="auto"/>
      </w:divBdr>
    </w:div>
    <w:div w:id="2093430522">
      <w:bodyDiv w:val="1"/>
      <w:marLeft w:val="0"/>
      <w:marRight w:val="0"/>
      <w:marTop w:val="0"/>
      <w:marBottom w:val="0"/>
      <w:divBdr>
        <w:top w:val="none" w:sz="0" w:space="0" w:color="auto"/>
        <w:left w:val="none" w:sz="0" w:space="0" w:color="auto"/>
        <w:bottom w:val="none" w:sz="0" w:space="0" w:color="auto"/>
        <w:right w:val="none" w:sz="0" w:space="0" w:color="auto"/>
      </w:divBdr>
    </w:div>
    <w:div w:id="212168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35882/ijahst.v2i6.181" TargetMode="External"/><Relationship Id="rId13" Type="http://schemas.openxmlformats.org/officeDocument/2006/relationships/hyperlink" Target="https://orcid.org/0000-0002-3097-9729" TargetMode="Externa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yperlink" Target="https://orcid.org/0000-0001-5478-4646"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5.jpeg"/><Relationship Id="rId10" Type="http://schemas.openxmlformats.org/officeDocument/2006/relationships/hyperlink" Target="https://orcid.org/0000-0002-8161-0737" TargetMode="Externa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yperlink" Target="https://creativecommons.org/licenses/by-sa/4.0/" TargetMode="External"/><Relationship Id="rId14" Type="http://schemas.openxmlformats.org/officeDocument/2006/relationships/hyperlink" Target="https://orcid.org/0000-0002-5721-0370" TargetMode="External"/><Relationship Id="rId22"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hyperlink" Target="http://ijahst.org/index.php/ijahst/inde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1100"/>
            </a:pPr>
            <a:r>
              <a:rPr lang="en-US" sz="1100"/>
              <a:t>Patient's Gender</a:t>
            </a:r>
          </a:p>
        </c:rich>
      </c:tx>
      <c:overlay val="0"/>
      <c:spPr>
        <a:noFill/>
        <a:ln>
          <a:noFill/>
        </a:ln>
        <a:effectLst/>
      </c:spPr>
    </c:title>
    <c:autoTitleDeleted val="0"/>
    <c:plotArea>
      <c:layout>
        <c:manualLayout>
          <c:layoutTarget val="inner"/>
          <c:xMode val="edge"/>
          <c:yMode val="edge"/>
          <c:x val="0.18882771914921423"/>
          <c:y val="0.17790212190778604"/>
          <c:w val="0.76552912732381484"/>
          <c:h val="0.62583063356862423"/>
        </c:manualLayout>
      </c:layout>
      <c:barChart>
        <c:barDir val="col"/>
        <c:grouping val="clustered"/>
        <c:varyColors val="0"/>
        <c:ser>
          <c:idx val="0"/>
          <c:order val="0"/>
          <c:spPr>
            <a:solidFill>
              <a:schemeClr val="accent1"/>
            </a:solidFill>
            <a:ln>
              <a:noFill/>
            </a:ln>
            <a:effectLst/>
          </c:spPr>
          <c:invertIfNegative val="0"/>
          <c:cat>
            <c:strLit>
              <c:ptCount val="2"/>
              <c:pt idx="0">
                <c:v>Perempuan</c:v>
              </c:pt>
              <c:pt idx="1">
                <c:v>Laki-Laki</c:v>
              </c:pt>
            </c:strLit>
          </c:cat>
          <c:val>
            <c:numLit>
              <c:formatCode>General</c:formatCode>
              <c:ptCount val="2"/>
              <c:pt idx="0">
                <c:v>28</c:v>
              </c:pt>
              <c:pt idx="1">
                <c:v>32</c:v>
              </c:pt>
            </c:numLit>
          </c:val>
          <c:extLst>
            <c:ext xmlns:c16="http://schemas.microsoft.com/office/drawing/2014/chart" uri="{C3380CC4-5D6E-409C-BE32-E72D297353CC}">
              <c16:uniqueId val="{00000000-8341-45F1-86CD-AAE7262B33BF}"/>
            </c:ext>
          </c:extLst>
        </c:ser>
        <c:dLbls>
          <c:showLegendKey val="0"/>
          <c:showVal val="0"/>
          <c:showCatName val="0"/>
          <c:showSerName val="0"/>
          <c:showPercent val="0"/>
          <c:showBubbleSize val="0"/>
        </c:dLbls>
        <c:gapWidth val="219"/>
        <c:overlap val="-27"/>
        <c:axId val="272491520"/>
        <c:axId val="47026112"/>
      </c:barChart>
      <c:catAx>
        <c:axId val="272491520"/>
        <c:scaling>
          <c:orientation val="minMax"/>
        </c:scaling>
        <c:delete val="0"/>
        <c:axPos val="b"/>
        <c:title>
          <c:tx>
            <c:rich>
              <a:bodyPr rot="0" vert="horz"/>
              <a:lstStyle/>
              <a:p>
                <a:pPr>
                  <a:defRPr/>
                </a:pPr>
                <a:r>
                  <a:rPr lang="en-US"/>
                  <a:t>Patient's Gender</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id-ID"/>
          </a:p>
        </c:txPr>
        <c:crossAx val="47026112"/>
        <c:crosses val="autoZero"/>
        <c:auto val="1"/>
        <c:lblAlgn val="ctr"/>
        <c:lblOffset val="100"/>
        <c:noMultiLvlLbl val="0"/>
      </c:catAx>
      <c:valAx>
        <c:axId val="470261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Frequency</a:t>
                </a:r>
              </a:p>
            </c:rich>
          </c:tx>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id-ID"/>
          </a:p>
        </c:txPr>
        <c:crossAx val="272491520"/>
        <c:crosses val="autoZero"/>
        <c:crossBetween val="between"/>
      </c:valAx>
    </c:plotArea>
    <c:plotVisOnly val="1"/>
    <c:dispBlanksAs val="gap"/>
    <c:showDLblsOverMax val="0"/>
  </c:chart>
  <c:spPr>
    <a:ln>
      <a:solidFill>
        <a:schemeClr val="bg1"/>
      </a:solidFill>
    </a:ln>
  </c:spPr>
  <c:txPr>
    <a:bodyPr/>
    <a:lstStyle/>
    <a:p>
      <a:pPr>
        <a:defRPr>
          <a:solidFill>
            <a:schemeClr val="tx1"/>
          </a:solidFill>
          <a:latin typeface="Times New Roman" panose="02020603050405020304" pitchFamily="18" charset="0"/>
          <a:cs typeface="Times New Roman" panose="02020603050405020304" pitchFamily="18" charset="0"/>
        </a:defRPr>
      </a:pPr>
      <a:endParaRPr lang="id-ID"/>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900"/>
            </a:pPr>
            <a:r>
              <a:rPr lang="en-US" sz="900"/>
              <a:t>Patient Age Intervals</a:t>
            </a:r>
          </a:p>
        </c:rich>
      </c:tx>
      <c:layout>
        <c:manualLayout>
          <c:xMode val="edge"/>
          <c:yMode val="edge"/>
          <c:x val="0.31737314993302185"/>
          <c:y val="3.455425017277125E-2"/>
        </c:manualLayout>
      </c:layout>
      <c:overlay val="0"/>
      <c:spPr>
        <a:noFill/>
        <a:ln>
          <a:noFill/>
        </a:ln>
        <a:effectLst/>
      </c:spPr>
    </c:title>
    <c:autoTitleDeleted val="0"/>
    <c:plotArea>
      <c:layout>
        <c:manualLayout>
          <c:layoutTarget val="inner"/>
          <c:xMode val="edge"/>
          <c:yMode val="edge"/>
          <c:x val="0.15560525370013395"/>
          <c:y val="0.161334066137379"/>
          <c:w val="0.79875159277289509"/>
          <c:h val="0.64401922033313308"/>
        </c:manualLayout>
      </c:layout>
      <c:barChart>
        <c:barDir val="col"/>
        <c:grouping val="clustered"/>
        <c:varyColors val="0"/>
        <c:ser>
          <c:idx val="0"/>
          <c:order val="0"/>
          <c:spPr>
            <a:solidFill>
              <a:schemeClr val="accent1"/>
            </a:solidFill>
            <a:ln>
              <a:noFill/>
            </a:ln>
            <a:effectLst/>
          </c:spPr>
          <c:invertIfNegative val="0"/>
          <c:cat>
            <c:strLit>
              <c:ptCount val="8"/>
              <c:pt idx="0">
                <c:v>10-20</c:v>
              </c:pt>
              <c:pt idx="1">
                <c:v>21-30</c:v>
              </c:pt>
              <c:pt idx="2">
                <c:v>31-40</c:v>
              </c:pt>
              <c:pt idx="3">
                <c:v>41-50</c:v>
              </c:pt>
              <c:pt idx="4">
                <c:v>51-60</c:v>
              </c:pt>
              <c:pt idx="5">
                <c:v>61-70</c:v>
              </c:pt>
              <c:pt idx="6">
                <c:v>71-80</c:v>
              </c:pt>
              <c:pt idx="7">
                <c:v>81-90</c:v>
              </c:pt>
            </c:strLit>
          </c:cat>
          <c:val>
            <c:numLit>
              <c:formatCode>General</c:formatCode>
              <c:ptCount val="8"/>
              <c:pt idx="0">
                <c:v>2</c:v>
              </c:pt>
              <c:pt idx="1">
                <c:v>4</c:v>
              </c:pt>
              <c:pt idx="2">
                <c:v>8</c:v>
              </c:pt>
              <c:pt idx="3">
                <c:v>6</c:v>
              </c:pt>
              <c:pt idx="4">
                <c:v>18</c:v>
              </c:pt>
              <c:pt idx="5">
                <c:v>11</c:v>
              </c:pt>
              <c:pt idx="6">
                <c:v>7</c:v>
              </c:pt>
              <c:pt idx="7">
                <c:v>4</c:v>
              </c:pt>
            </c:numLit>
          </c:val>
          <c:extLst>
            <c:ext xmlns:c16="http://schemas.microsoft.com/office/drawing/2014/chart" uri="{C3380CC4-5D6E-409C-BE32-E72D297353CC}">
              <c16:uniqueId val="{00000000-4675-43D5-969F-FA1355F9691C}"/>
            </c:ext>
          </c:extLst>
        </c:ser>
        <c:dLbls>
          <c:showLegendKey val="0"/>
          <c:showVal val="0"/>
          <c:showCatName val="0"/>
          <c:showSerName val="0"/>
          <c:showPercent val="0"/>
          <c:showBubbleSize val="0"/>
        </c:dLbls>
        <c:gapWidth val="219"/>
        <c:overlap val="-27"/>
        <c:axId val="273581568"/>
        <c:axId val="47028992"/>
      </c:barChart>
      <c:catAx>
        <c:axId val="273581568"/>
        <c:scaling>
          <c:orientation val="minMax"/>
        </c:scaling>
        <c:delete val="0"/>
        <c:axPos val="b"/>
        <c:title>
          <c:tx>
            <c:rich>
              <a:bodyPr rot="0" vert="horz"/>
              <a:lstStyle/>
              <a:p>
                <a:pPr>
                  <a:defRPr/>
                </a:pPr>
                <a:r>
                  <a:rPr lang="en-US"/>
                  <a:t>Patient Age Intervals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id-ID"/>
          </a:p>
        </c:txPr>
        <c:crossAx val="47028992"/>
        <c:crosses val="autoZero"/>
        <c:auto val="1"/>
        <c:lblAlgn val="ctr"/>
        <c:lblOffset val="100"/>
        <c:noMultiLvlLbl val="0"/>
      </c:catAx>
      <c:valAx>
        <c:axId val="470289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Frequency</a:t>
                </a:r>
              </a:p>
            </c:rich>
          </c:tx>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id-ID"/>
          </a:p>
        </c:txPr>
        <c:crossAx val="273581568"/>
        <c:crosses val="autoZero"/>
        <c:crossBetween val="between"/>
      </c:valAx>
    </c:plotArea>
    <c:plotVisOnly val="1"/>
    <c:dispBlanksAs val="gap"/>
    <c:showDLblsOverMax val="0"/>
  </c:chart>
  <c:spPr>
    <a:ln>
      <a:solidFill>
        <a:schemeClr val="bg1"/>
      </a:solidFill>
    </a:ln>
  </c:spPr>
  <c:txPr>
    <a:bodyPr/>
    <a:lstStyle/>
    <a:p>
      <a:pPr>
        <a:defRPr sz="900">
          <a:solidFill>
            <a:schemeClr val="tx1"/>
          </a:solidFill>
          <a:latin typeface="Times New Roman" panose="02020603050405020304" pitchFamily="18" charset="0"/>
          <a:cs typeface="Times New Roman" panose="02020603050405020304" pitchFamily="18" charset="0"/>
        </a:defRPr>
      </a:pPr>
      <a:endParaRPr lang="id-ID"/>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900"/>
            </a:pPr>
            <a:r>
              <a:rPr lang="en-US" sz="900"/>
              <a:t>Helicobacter pylori bacterial density grade</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cat>
            <c:strLit>
              <c:ptCount val="4"/>
              <c:pt idx="0">
                <c:v>Normal</c:v>
              </c:pt>
              <c:pt idx="1">
                <c:v>Mild</c:v>
              </c:pt>
              <c:pt idx="2">
                <c:v>Moderate</c:v>
              </c:pt>
              <c:pt idx="3">
                <c:v>Severe</c:v>
              </c:pt>
            </c:strLit>
          </c:cat>
          <c:val>
            <c:numLit>
              <c:formatCode>General</c:formatCode>
              <c:ptCount val="4"/>
              <c:pt idx="0">
                <c:v>33</c:v>
              </c:pt>
              <c:pt idx="1">
                <c:v>18</c:v>
              </c:pt>
              <c:pt idx="2">
                <c:v>5</c:v>
              </c:pt>
              <c:pt idx="3">
                <c:v>4</c:v>
              </c:pt>
            </c:numLit>
          </c:val>
          <c:extLst>
            <c:ext xmlns:c16="http://schemas.microsoft.com/office/drawing/2014/chart" uri="{C3380CC4-5D6E-409C-BE32-E72D297353CC}">
              <c16:uniqueId val="{00000000-CE20-47F7-B574-B24B21CBEA3F}"/>
            </c:ext>
          </c:extLst>
        </c:ser>
        <c:dLbls>
          <c:showLegendKey val="0"/>
          <c:showVal val="0"/>
          <c:showCatName val="0"/>
          <c:showSerName val="0"/>
          <c:showPercent val="0"/>
          <c:showBubbleSize val="0"/>
        </c:dLbls>
        <c:gapWidth val="219"/>
        <c:overlap val="-27"/>
        <c:axId val="278220800"/>
        <c:axId val="257719616"/>
      </c:barChart>
      <c:catAx>
        <c:axId val="278220800"/>
        <c:scaling>
          <c:orientation val="minMax"/>
        </c:scaling>
        <c:delete val="0"/>
        <c:axPos val="b"/>
        <c:title>
          <c:tx>
            <c:rich>
              <a:bodyPr rot="0" vert="horz"/>
              <a:lstStyle/>
              <a:p>
                <a:pPr>
                  <a:defRPr/>
                </a:pPr>
                <a:r>
                  <a:rPr lang="en-US"/>
                  <a:t>Helicobacter pylori bacterial density grade</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id-ID"/>
          </a:p>
        </c:txPr>
        <c:crossAx val="257719616"/>
        <c:crosses val="autoZero"/>
        <c:auto val="1"/>
        <c:lblAlgn val="ctr"/>
        <c:lblOffset val="100"/>
        <c:noMultiLvlLbl val="0"/>
      </c:catAx>
      <c:valAx>
        <c:axId val="2577196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Frequency</a:t>
                </a:r>
              </a:p>
            </c:rich>
          </c:tx>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id-ID"/>
          </a:p>
        </c:txPr>
        <c:crossAx val="278220800"/>
        <c:crosses val="autoZero"/>
        <c:crossBetween val="between"/>
      </c:valAx>
    </c:plotArea>
    <c:plotVisOnly val="1"/>
    <c:dispBlanksAs val="gap"/>
    <c:showDLblsOverMax val="0"/>
  </c:chart>
  <c:spPr>
    <a:ln>
      <a:solidFill>
        <a:schemeClr val="bg1"/>
      </a:solidFill>
    </a:ln>
  </c:spPr>
  <c:txPr>
    <a:bodyPr/>
    <a:lstStyle/>
    <a:p>
      <a:pPr>
        <a:defRPr sz="900">
          <a:latin typeface="Times New Roman" panose="02020603050405020304" pitchFamily="18" charset="0"/>
          <a:cs typeface="Times New Roman" panose="02020603050405020304" pitchFamily="18" charset="0"/>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8D302469-194C-4225-A6A0-3A26228B2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TotalTime>
  <Pages>7</Pages>
  <Words>14825</Words>
  <Characters>84509</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Date of publication xxxx 00, 0000, date of current version xxxx 00, 0000</vt:lpstr>
    </vt:vector>
  </TitlesOfParts>
  <Company>Hewlett-Packard Company</Company>
  <LinksUpToDate>false</LinksUpToDate>
  <CharactersWithSpaces>99136</CharactersWithSpaces>
  <SharedDoc>false</SharedDoc>
  <HLinks>
    <vt:vector size="12" baseType="variant">
      <vt:variant>
        <vt:i4>2555906</vt:i4>
      </vt:variant>
      <vt:variant>
        <vt:i4>6</vt:i4>
      </vt:variant>
      <vt:variant>
        <vt:i4>0</vt:i4>
      </vt:variant>
      <vt:variant>
        <vt:i4>5</vt:i4>
      </vt:variant>
      <vt:variant>
        <vt:lpwstr>mailto:graphics@ieee.org</vt:lpwstr>
      </vt:variant>
      <vt:variant>
        <vt:lpwstr/>
      </vt:variant>
      <vt:variant>
        <vt:i4>7405602</vt:i4>
      </vt:variant>
      <vt:variant>
        <vt:i4>3</vt:i4>
      </vt:variant>
      <vt:variant>
        <vt:i4>0</vt:i4>
      </vt:variant>
      <vt:variant>
        <vt:i4>5</vt:i4>
      </vt:variant>
      <vt:variant>
        <vt:lpwstr>http://graphicsqc.ieee.org/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of publication xxxx 00, 0000, date of current version xxxx 00, 0000</dc:title>
  <dc:subject/>
  <dc:creator>lds2</dc:creator>
  <cp:keywords/>
  <dc:description/>
  <cp:lastModifiedBy>Editor</cp:lastModifiedBy>
  <cp:revision>22</cp:revision>
  <cp:lastPrinted>2022-12-12T11:49:00Z</cp:lastPrinted>
  <dcterms:created xsi:type="dcterms:W3CDTF">2022-11-12T06:45:00Z</dcterms:created>
  <dcterms:modified xsi:type="dcterms:W3CDTF">2022-12-12T14:10:00Z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17c9d45a-fffe-320a-a8af-c597971b40f9</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